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  <w:t xml:space="preserve">Załącznik nr 2 Opis przedmiotu zamówienia 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  <w:t>Pakiet I.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tbl>
      <w:tblPr>
        <w:tblW w:w="58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4980"/>
        <w:gridCol w:w="594"/>
      </w:tblGrid>
      <w:tr w:rsidR="00A61F2F" w:rsidRPr="00081923" w:rsidTr="00652840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urządzenia / usługi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A61F2F" w:rsidRPr="00081923" w:rsidTr="00652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Zewnętrzna antena sektorowa LTE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61F2F" w:rsidRPr="00081923" w:rsidTr="00652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Instalacja anteny oraz okablowania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61F2F" w:rsidRPr="00081923" w:rsidTr="00652840">
        <w:trPr>
          <w:trHeight w:val="6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Router przemysłowy LTE </w:t>
            </w:r>
            <w:proofErr w:type="spellStart"/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OnCell</w:t>
            </w:r>
            <w:proofErr w:type="spellEnd"/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G3470A-LTE lub inny kompatybilny o lepszych parametrach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61F2F" w:rsidRPr="00081923" w:rsidTr="0065284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Rekonfiguracja obecnego </w:t>
            </w:r>
            <w:proofErr w:type="spellStart"/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firewall’a</w:t>
            </w:r>
            <w:proofErr w:type="spellEnd"/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Fortigate</w:t>
            </w:r>
            <w:proofErr w:type="spellEnd"/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100F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</w:tbl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</w:pP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  <w:t>Opis urządzeń i usługi: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Przedmiotem zamówienia jest wykonanie zapasowego przełącza internetowego LTE dla Szpitala Dziecięcego im. Dzieci Warszawy w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Dziekanowie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Leśnym. </w:t>
      </w:r>
      <w:r w:rsid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Do zadań wykonawcy należeć będzie: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- dostawa modemu LTE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- dostawa zewnętrznej Anteny LTE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- montaż anteny we wskazanym przez Zamawiającego miejscu, w tym instalacja masztu, jeżeli będzie to niezbędne do poprawnej pracy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- wykonanie niezbędnego okablowania między anteną, modemem oraz routerem brzegowym Zamawiającego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rekonfiguracja routera brzegowego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Fortinet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Fortigate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100F pracującego w klastrze HA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Parametry minimalne poszczególnych elementów: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Router LTE, parametry minimalne: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- metalowa obudowa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- 2x slot na kartę SIM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obsługa </w:t>
      </w: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2G, 3G, LTE o prędkością DL/UL min.: 230/230kbps (2G), 40/5Mbps (3G),  150/50Mbps (LTE)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możliwość instalacji na szynie DIN oraz montażu ściennego 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- min. 2 złącza SMA do podłączenia anteny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- min. 2 porty RJ-45 10/100Mbps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- pobór mocy nie większy niż 9W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slot na kartę SD (lub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microSD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możliwość pracy kart SIM w trybie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>failover</w:t>
      </w:r>
      <w:proofErr w:type="spellEnd"/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wparcie dla: </w:t>
      </w: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IPv4/v6,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Dynamic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IP,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Static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IP,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PPPoE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PPTP, L2TP, IP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passthrough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porcie WAN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możliwość uruchomienia monitoringu ICMP i/lub DNS na porcie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wsparcie dla: VLAN (TAG i port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based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Static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IPv6, DHCPv6, Port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Forward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Routing statyczny i dynamiczny - RIP1/RIP2, OSPF, BGP na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portcie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LAN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zarządzanie przez WWW, SSH, skrypty, telnet SNMP v3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wbudowany analizator pakietów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wbudowany firewall, IPS, filtr adresów MAC, blokada URL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wparcie dla VPN: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IPSec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(min. 2 tunele),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OpenVPN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, PPTP, L2TP, GRE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zakres temperatur pracy: min.  od -28  do 68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st.C</w:t>
      </w:r>
      <w:proofErr w:type="spellEnd"/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zakres wilgotności: min. od 10 do 92%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waga: nie więcej niż 300g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Antena LTE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dwupolaryzacyjna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zakres częstotliwości: 1710-2170 MHz.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kąt promieniowania: min. 60st dla obu polaryzacji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- 2x złącze SMA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zysk min. 2x 7.8dBi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maksymalna moc wejściowa: 50W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szczelność obudowy min. IP67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temperatura pracy: min. od -35 do 80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st.C</w:t>
      </w:r>
      <w:proofErr w:type="spellEnd"/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zakres regulacji: min. +/- 25st.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waga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maks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: 900g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zakres średnicy masztu: 30-64mm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obsługiwane systemy: pasma LTE - 1, 2, 3, 4, 9, 10, 25, 33, 34, 35, 36, 37, 39, 65, 66, 70; 3G - 2100 MHz; GSM - 1800 MHz, 1900 MHz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Rekonfiguracja klastra </w:t>
      </w:r>
      <w:proofErr w:type="spellStart"/>
      <w:r w:rsidRPr="000819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Fortigate</w:t>
      </w:r>
      <w:proofErr w:type="spellEnd"/>
      <w:r w:rsidRPr="000819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HA: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utworzenie interfejsu IP dla łącza LTE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skonfigurowanie routingu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skonfigurowanie polityk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firewalla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zaleceniami Zamawiającego oraz zachowaniem zasad dobrej praktyki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konfiguracja łącza LTE jako łącza zapasowego aktywnego w razie awarii łącza podstawowego 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testów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raportu i dokumentacji z wprowadzonych zmian.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1F2F" w:rsidRP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Minimalne wymagania dotyczące W</w:t>
      </w:r>
      <w:r w:rsidR="00A61F2F" w:rsidRPr="000819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ykonawców</w:t>
      </w:r>
      <w:r w:rsidR="00A61F2F"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- Instalator musi posiadać min. 5cio letnie doświadczenie w wykonywaniu instalacji GSM/LTE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inżynier przydzielony do projektu odpowiedzialny za konfigurację urządzeń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Fortigate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posiadać min. 5cio letnie doświadczenie w pracy z urządzeniami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Fortigate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posiadać certyfikat firmy </w:t>
      </w:r>
      <w:proofErr w:type="spellStart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>Fortinet</w:t>
      </w:r>
      <w:proofErr w:type="spellEnd"/>
      <w:r w:rsidRPr="00081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poziomie min. NSE4 potwierdzający zaawansowaną wiedzę na temat konfiguracji rozwiązania. 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081923" w:rsidRDefault="00081923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  <w:t>Pakiet II.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tbl>
      <w:tblPr>
        <w:tblW w:w="72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00"/>
        <w:gridCol w:w="594"/>
      </w:tblGrid>
      <w:tr w:rsidR="00A61F2F" w:rsidRPr="00081923" w:rsidTr="0065284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 urządzenia / usługi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A61F2F" w:rsidRPr="00081923" w:rsidTr="0065284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TYP1: Przełącznik 48x1G </w:t>
            </w:r>
            <w:proofErr w:type="spellStart"/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PoE</w:t>
            </w:r>
            <w:proofErr w:type="spellEnd"/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+, 4x10G SFP+, </w:t>
            </w:r>
            <w:proofErr w:type="spellStart"/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LifeTime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A61F2F" w:rsidRPr="00081923" w:rsidTr="0065284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TYP2: Przełącznik 48x1G PoE6, 4x10/25/50G SFP56, </w:t>
            </w:r>
            <w:proofErr w:type="spellStart"/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LifeTime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F2F" w:rsidRPr="00081923" w:rsidRDefault="00A61F2F" w:rsidP="00081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8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</w:tbl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  <w:t>Opis urządzeń i usługi:</w:t>
      </w: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</w:p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  <w:t>Przełącznik Typ1: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Minimum 48 portów 10/100/1000BASE-T umieszczonych z przodu obudowy ze wsparciem dla protokołu 802.3at (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PoE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>+)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Minimum 4 porty 1/10gigabitowe SFP+ umieszczone z przodu obudowy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Przepustowość: minimum 176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Gb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/s (pełna prędkość, tzw.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wire-speed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, na wszystkich portach przełącznika) 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Wydajność: minimum 130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>/s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Bufor pakietów: minimum 7.5 MB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Minimum 8GB pamięci operacyjnej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Minimum 15GB wewnętrznej pamięci nieulotnej typu Flash (CF, SSD, SD,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eUSB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>, SPI Flash).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Dedykowany port do zarządzania poza pasmowego (Ethernet, RJ-45), w pełni niezależny od portów liniowych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Dedykowany port konsoli USB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Port USB 2.0 (niezależny od portu konsoli USB)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Interfejs Bluetooth (dopuszcza się rozwiązanie w postaci adaptera Bluetooth, podłączanego do portu USB przełącznika, przy czym adapter musi pochodzić od tego samego producenta co przełącznik)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Przełączniki tego samego typu muszą posiadać funkcję łączenia w stos (wirtualny przełącznik) złożony z minimum 8 urządzeń. Zarządzanie stosem musi odbywać się z jednego adresu IP. Z punktu widzenia zarządzania przełączniki muszą tworzyć jedno logiczne urządzenie (nie dopuszcza się rozwiązań typu klaster). Jeżeli łączenie w stos wymaga dodatkowych modułów lub licencji to dostarczenie ich jest wymagane w ramach tego postępowania. </w:t>
      </w:r>
      <w:bookmarkStart w:id="0" w:name="_Hlk41409593"/>
      <w:r w:rsidRPr="00081923">
        <w:rPr>
          <w:rFonts w:ascii="Times New Roman" w:eastAsia="Calibri" w:hAnsi="Times New Roman" w:cs="Times New Roman"/>
          <w:sz w:val="24"/>
          <w:szCs w:val="24"/>
        </w:rPr>
        <w:t>Dostępne metody łączenia przełączników muszą umożliwiać realizację stosów na odległość co najmniej 300m.</w:t>
      </w:r>
      <w:bookmarkEnd w:id="0"/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Realizacja łączy agregowanych w ramach różnych przełączników będących w stosie 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Wewnętrzny zasilacz 230V zapewniający budżet mocy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PoE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na poziomie nie niższym niż 740W. </w:t>
      </w:r>
      <w:bookmarkStart w:id="1" w:name="_Hlk41409694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Pobór mocy (bez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PoE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>) nie może być większy niż 80W.</w:t>
      </w:r>
      <w:bookmarkEnd w:id="1"/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Wielkość tablicy routingu: minimum 2000 wpisów IPv4, 1000 wpisów IPv6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Wielkość tablicy ARP co najmniej 8000 wpisów, wielkość tablicy ND co najmniej 8000 wpisów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Tablica adresów MAC o wielkości minimum 16000 pozycji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Jumbo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Frames</w:t>
      </w:r>
      <w:proofErr w:type="spellEnd"/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sFlow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lub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Netflow</w:t>
      </w:r>
      <w:proofErr w:type="spellEnd"/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skryptów w języku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Python</w:t>
      </w:r>
      <w:proofErr w:type="spellEnd"/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REST API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Wbudowany mechanizm monitoringu, analizy i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troubleshootingu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anomalii i problemów oraz zbierania danych sieciowych. Musi być możliwe podejmowanie akcji na podstawie zdefiniowanych polityk oraz wgrywanie i eksport skryptów pozwalających na indywidualizację monitorowanych danych. Musi być dostępna publicznie strona producenta zawierająca zatwierdzone przez niego, gotowe do użycia skrypty.  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RMON (minimum grupy 1,2,3 i 9)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4094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tagów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IEEE 802.1Q oraz 2000 jednoczesnych sieci VLAN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standardu 802.1v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protokołu MVRP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Wsparcie dla VXLAN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Dostęp do urządzenia przez konsolę szeregową, HTTPS, SSHv2, SNMPv3, dedykowaną aplikację na urządzenia mobilne 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Obsługa Rapid Spanning Tree (802.1w)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Multiple Spanning Tree (802.1s)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Secure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FTP lub SCP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łączy agregowanych zgodnie ze standardem 802.3ad Link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Aggregation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Protocol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(LACP)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Obsługa SNTPv4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>lub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NTP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>Wsparcie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>dla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IPv6 (IPv6 host, dual stack, MLD snooping, ND snooping)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protokołów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rutingu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ruting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statyczny, OSPF, OSPFv3 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ruchu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multicast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>: IGMPv1/v2/v3 (co najmniej 1000 grup), MLD (co najmniej 1000 grup)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Obsługa IEEE 802.1AB Link Layer Discovery Protocol (LLDP)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LLDP Media Endpoint Discovery (LLDP-MED)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Automatyczna konfiguracja VLAN dla urządzeń VoIP oparta co najmniej o: RADIUS VLAN (użycie atrybutów RADIUS i mechanizmu LLDP-MED)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Mechanizmy związane z zapewnieniem jakości usług w sieci: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prioryteryzacja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zgodna z 802.1p,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ToS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, TCP/UDP,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DiffServ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, wsparcie dla 8 kolejek sprzętowych,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rate-limiting</w:t>
      </w:r>
      <w:proofErr w:type="spellEnd"/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uwierzytelniania użytkowników zgodna z 802.1x 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uwierzytelniania użytkowników w oparciu o adres MAC i serwer RADIUS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uwierzytelniania użytkowników w oparciu o stronę WWW z użyciem zewnętrznego serwera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uwierzytelniania wielu użytkowników na tym samym porcie w tym samym czasie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autoryzacji logowania do urządzenia za pomocą serwerów RADIUS albo TACACS+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autoryzacji komend wydawanych do urządzenia za pomocą serwerów RADIUS albo TACACS+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Wbudowany serwer DHCP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blokowania nieautoryzowanych serwerów DHCP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mechanizmu wykrywania łączy jednokierunkowych typu Device Link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Detection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Protocol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(DLDP),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Uni-Directional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Link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Detection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(UDLD), lub równoważnego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Ochrona przed rekonfiguracją struktury topologii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Spanning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Tree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(BPDU port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protection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list kontroli dostępu (ACL) bazujących na porcie lub na VLAN z uwzględnieniem adresów, MAC, IP i portów TCP/UDP. Co najmniej 5000 wpisów typu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ingress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i 2000 wpisów typu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egress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dla IPv4 i MAC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Wbudowana sonda IP SLA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Zakres pracy od 0 do 45°C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Przełącznik w obudowie 19”. Maksymalna wysokość obudowy 1U, maksymalna głębokość obudowy 35 cm.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Jeżeli do działania któregokolwiek z wymienionych protokołów i funkcji wymagana </w:t>
      </w:r>
      <w:r w:rsidRPr="00081923">
        <w:rPr>
          <w:rFonts w:ascii="Times New Roman" w:eastAsia="Calibri" w:hAnsi="Times New Roman" w:cs="Times New Roman"/>
          <w:sz w:val="24"/>
          <w:szCs w:val="24"/>
        </w:rPr>
        <w:lastRenderedPageBreak/>
        <w:t>jest dodatkowa licencja to należy ją dostarczyć w ramach tego postępowania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Wszystkie dostępne na przełączniku funkcje (tak wyspecyfikowane jak i nie wyspecyfikowane) muszą być dostępne przez cały okres jego użytkowania (permanentne), nie dopuszcza się licencji czasowych i subskrypcji.  </w:t>
      </w:r>
    </w:p>
    <w:p w:rsidR="00A61F2F" w:rsidRPr="00081923" w:rsidRDefault="00A61F2F" w:rsidP="00081923">
      <w:pPr>
        <w:widowControl w:val="0"/>
        <w:numPr>
          <w:ilvl w:val="0"/>
          <w:numId w:val="1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GoBack"/>
      <w:r w:rsidRPr="00081923">
        <w:rPr>
          <w:rFonts w:ascii="Times New Roman" w:eastAsia="Calibri" w:hAnsi="Times New Roman" w:cs="Times New Roman"/>
          <w:sz w:val="24"/>
          <w:szCs w:val="24"/>
        </w:rPr>
        <w:t>Dożywotnia (minimum 5 lat po zakończeniu produkcji, przy czym, jeżeli data zakończenia produkcji jest ogłoszona to nie może być ona krótsza niż 2 lata po dostarczeniu sprzętu) gwarancja producenta obejmująca wszystkie elementy przełącznika (również zasilacze i wentylatory) zapewniająca wysyłkę sprzętu na podmianę maksymalnie na następny dzień roboczy. Serwis musi zapewniać również dostęp do poprawek i aktualizacji oprogramowania przez cały okres trwania gwarancji. Serwis musi być świadczony bezpośrednio przez producenta sprzętu w języku polskim. Cała komunikacja odbywać się musi bezpośrednio pomiędzy Zamawiającym i producentem sprzętu.</w:t>
      </w:r>
    </w:p>
    <w:bookmarkEnd w:id="2"/>
    <w:p w:rsidR="00A61F2F" w:rsidRPr="00081923" w:rsidRDefault="00A61F2F" w:rsidP="00081923">
      <w:pPr>
        <w:widowControl w:val="0"/>
        <w:suppressLineNumbers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</w:pPr>
      <w:r w:rsidRPr="0008192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zh-CN"/>
        </w:rPr>
        <w:t>Przełącznik Typ2: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Minimum 48 portów 1000BaseT z wsparciem dla standardów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PoE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(standardy 802.3af i 802.3at), umieszczone z przodu obudowy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Minimum 4 porty 1/10/25/50-gigabitowe SFP56 umieszczone z przodu obudowy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Przepustowość: minimum 496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Gb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/s (pełna prędkość, tzw.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wire-speed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, na wszystkich portach przełącznika) 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Wydajność: minimum 360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>/s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Bufor pakietów: minimum 7.5 MB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Minimum 8GB pamięci operacyjnej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Minimum 30GB wewnętrznej pamięci nieulotnej typu Flash (CF, SSD, SD,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eUSB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>, SPI Flash).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Dedykowany port do zarządzania poza pasmowego (Ethernet, RJ-45), w pełni niezależny od portów liniowych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Dedykowany port konsoli USB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Port USB 2.0 (niezależny od portu konsoli USB)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Interfejs Bluetooth (dopuszcza się rozwiązanie w postaci adaptera Bluetooth, podłączanego do portu USB przełącznika, przy czym adapter musi pochodzić od tego samego producenta co przełącznik)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Przełączniki tego samego typu muszą posiadać funkcję łączenia w stos (wirtualny przełącznik) złożony z minimum 10 urządzeń. Zarządzanie stosem musi odbywać się z jednego adresu IP. Z punktu widzenia zarządzania przełączniki muszą tworzyć jedno logiczne urządzenie (nie dopuszcza się rozwiązań typu klaster). Jeżeli łączenie w stos wymaga dodatkowych modułów lub licencji to dostarczenie ich jest wymagane w ramach tego postępowania. 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Łączenie w stos z wykorzystaniem portów 10Gb, 25Gb, 50Gb i agregowanych portów 10Gb, 25Gb i 50Gb (w celu zwiększenia przepustowości w stosie). </w:t>
      </w:r>
      <w:bookmarkStart w:id="3" w:name="_Hlk43033978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Musi być możliwe stworzenie stosu z urządzeń oddalonych od siebie o co najmniej 1000 metrów. </w:t>
      </w:r>
    </w:p>
    <w:bookmarkEnd w:id="3"/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Realizacja łączy agregowanych w ramach różnych przełączników będących w stosie 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Dwa wbudowane (wewnętrzne, modularne) zasilacze AC dla zapewnienia redundancji zasilania, wymieniane podczas pracy urządzenia. 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Budżet mocy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PoE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przy zastosowaniu dwóch zasilaczy co najmniej 1440W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Modularne, redundantne wentylatory, podzielone na co najmniej dwa niezależne moduły. Moduły wentylatorów musi mieć możliwość wymiany „na gorąco” (na działającym urządzeniu)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Wielkość tablicy routingu: minimum 60000 wpisów IPv4, 30000 wpisów IPv6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Tablica adresów MAC o wielkości minimum 32000 pozycji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Jumbo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Frames</w:t>
      </w:r>
      <w:proofErr w:type="spellEnd"/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sFlow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lub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Netflow</w:t>
      </w:r>
      <w:proofErr w:type="spellEnd"/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skryptów w języku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Python</w:t>
      </w:r>
      <w:proofErr w:type="spellEnd"/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REST API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Wbudowany mechanizm monitoringu, analizy i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troubleshootingu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anomalii i problemów oraz zbierania danych sieciowych. Musi być możliwe podejmowanie akcji na podstawie zdefiniowanych polityk oraz wgrywanie i eksport skryptów pozwalających na indywidualizację monitorowanych danych. Musi być dostępna publicznie strona producenta zawierająca zatwierdzone przez niego, gotowe do użycia skrypty.  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RMON (minimum grupy 1,2,3 i 9)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4094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tagów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IEEE 802.1Q oraz 2000 jednoczesnych sieci VLAN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standardu 802.1v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protokołu MVRP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Wsparcie dla VXLAN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>Obsługa Microsoft Network Load Balancer (NLB)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Dostęp do urządzenia przez konsolę szeregową, HTTPS, SSHv2, SNMPv3, dedykowaną aplikację na urządzenia mobilne 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Obsługa Rapid Spanning Tree (802.1w)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Multiple Spanning Tree (802.1s)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Secure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FTP lub SCP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łączy agregowanych zgodnie ze standardem 802.3ad Link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Aggregation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Protocol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(LACP)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Obsługa SNTPv4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>lub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NTP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>Wsparcie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>dla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IPv6 (IPv6 host, dual stack, MLD snooping, ND snooping)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protokołów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rutingu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ruting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statyczny, OSPF, OSPFv3, BGP, MP-BGP, 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Obsłyga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ruchu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multicast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>: IGMPv1/v2/v3, PIM-SM, PIM-DM, MSDP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VRRP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ECMP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Obsługa IEEE 802.1AB Link Layer Discovery Protocol (LLDP)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LLDP Media Endpoint Discovery (LLDP-MED)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Automatyczna konfiguracja VLAN dla urządzeń VoIP oparta co najmniej o: RADIUS VLAN (użycie atrybutów RADIUS i mechanizmu LLDP-MED)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Mechanizmy związane z zapewnieniem jakości usług w sieci: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prioryteryzacja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zgodna z 802.1p,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ToS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, TCP/UDP,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DiffServ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, wsparcie dla 8 kolejek sprzętowych,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rate-limiting</w:t>
      </w:r>
      <w:proofErr w:type="spellEnd"/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uwierzytelniania użytkowników zgodna z 802.1x 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uwierzytelniania użytkowników w oparciu o adres MAC i serwer RADIUS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uwierzytelniania użytkowników w oparciu o stronę WWW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uwierzytelniania wielu użytkowników na tym samym porcie w tym samym czasie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autoryzacji logowania do urządzenia za pomocą serwerów RADIUS albo TACACS+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autoryzacji komend wydawanych do urządzenia za pomocą serwerów RADIUS albo TACACS+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Wbudowany serwer DHCP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funkcji User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Datagram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Protocol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(UDP)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helper</w:t>
      </w:r>
      <w:proofErr w:type="spellEnd"/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Obsługa blokowania nieautoryzowanych serwerów DHCP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mechanizmu wykrywania łączy jednokierunkowych typu Device Link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Detection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Protocol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(DLDP),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Uni-Directional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Link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Detection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(UDLD), lub równoważnego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Ochrona przed rekonfiguracją struktury topologii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Spanning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Tree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 (BPDU port </w:t>
      </w:r>
      <w:proofErr w:type="spellStart"/>
      <w:r w:rsidRPr="00081923">
        <w:rPr>
          <w:rFonts w:ascii="Times New Roman" w:eastAsia="Calibri" w:hAnsi="Times New Roman" w:cs="Times New Roman"/>
          <w:sz w:val="24"/>
          <w:szCs w:val="24"/>
        </w:rPr>
        <w:t>protection</w:t>
      </w:r>
      <w:proofErr w:type="spellEnd"/>
      <w:r w:rsidRPr="00081923">
        <w:rPr>
          <w:rFonts w:ascii="Times New Roman" w:eastAsia="Calibri" w:hAnsi="Times New Roman" w:cs="Times New Roman"/>
          <w:sz w:val="24"/>
          <w:szCs w:val="24"/>
        </w:rPr>
        <w:t>)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Obsługa list kontroli dostępu (ACL) bazujących na porcie lub na VLAN z uwzględnieniem adresów, MAC, IP i portów TCP/UDP 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Zakres pracy od 0 do 45°C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Przełącznik w obudowie 19”. Maksymalna wysokość obudowy 1U, maksymalna </w:t>
      </w:r>
      <w:r w:rsidRPr="00081923">
        <w:rPr>
          <w:rFonts w:ascii="Times New Roman" w:eastAsia="Calibri" w:hAnsi="Times New Roman" w:cs="Times New Roman"/>
          <w:color w:val="000000"/>
          <w:sz w:val="24"/>
          <w:szCs w:val="24"/>
        </w:rPr>
        <w:t>głębokość obudowy 40 cm.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Jeżeli do działania któregokolwiek z wymienionych protokołów i funkcji wymagana jest dodatkowa licencja to należy ją dostarczyć w ramach tego postępowania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 xml:space="preserve">Wszystkie dostępne na przełączniku funkcje (tak wyspecyfikowane jak i nie wyspecyfikowane) muszą być dostępne przez cały okres jego użytkowania (permanentne), nie dopuszcza się licencji czasowych i subskrypcji.  </w:t>
      </w:r>
    </w:p>
    <w:p w:rsidR="00A61F2F" w:rsidRPr="00081923" w:rsidRDefault="00A61F2F" w:rsidP="00081923">
      <w:pPr>
        <w:widowControl w:val="0"/>
        <w:numPr>
          <w:ilvl w:val="0"/>
          <w:numId w:val="2"/>
        </w:numPr>
        <w:suppressLineNumbers/>
        <w:suppressAutoHyphens/>
        <w:autoSpaceDE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923">
        <w:rPr>
          <w:rFonts w:ascii="Times New Roman" w:eastAsia="Calibri" w:hAnsi="Times New Roman" w:cs="Times New Roman"/>
          <w:sz w:val="24"/>
          <w:szCs w:val="24"/>
        </w:rPr>
        <w:t>Dożywotnia (minimum 5 lat po zakończeniu produkcji, przy czym, jeżeli data zakończenia produkcji jest ogłoszona to nie może być ona krótsza niż 2 lata po dostarczeniu sprzętu) gwarancja producenta obejmująca wszystkie elementy przełącznika (również zasilacze i wentylatory) zapewniająca wysyłkę sprzętu na podmianę maksymalnie na następny dzień roboczy. Serwis musi zapewniać również dostęp do poprawek i aktualizacji oprogramowania przez cały okres trwania gwarancji. Serwis musi być świadczony bezpośrednio przez producenta sprzętu w języku polskim. Cała komunikacja odbywać się musi bezpośrednio pomiędzy Zamawiającym i producentem sprzętu.</w:t>
      </w:r>
    </w:p>
    <w:p w:rsidR="00B504BC" w:rsidRPr="00081923" w:rsidRDefault="00B504BC" w:rsidP="000819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504BC" w:rsidRPr="00081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14DF4"/>
    <w:multiLevelType w:val="hybridMultilevel"/>
    <w:tmpl w:val="074AE3AE"/>
    <w:lvl w:ilvl="0" w:tplc="3EA6D2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B4546"/>
    <w:multiLevelType w:val="hybridMultilevel"/>
    <w:tmpl w:val="074AE3AE"/>
    <w:lvl w:ilvl="0" w:tplc="3EA6D2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2F"/>
    <w:rsid w:val="00081923"/>
    <w:rsid w:val="00A61F2F"/>
    <w:rsid w:val="00B5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D67DD-BDAC-4DD7-A1A9-595BBA97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2128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2</cp:revision>
  <dcterms:created xsi:type="dcterms:W3CDTF">2020-12-09T13:36:00Z</dcterms:created>
  <dcterms:modified xsi:type="dcterms:W3CDTF">2020-12-10T06:40:00Z</dcterms:modified>
</cp:coreProperties>
</file>