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2F" w:rsidRPr="00081923" w:rsidRDefault="00A61F2F" w:rsidP="006A4944">
      <w:pPr>
        <w:widowControl w:val="0"/>
        <w:suppressLineNumbers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 xml:space="preserve">Załącznik nr 2 Opis przedmiotu zamówienia </w:t>
      </w:r>
    </w:p>
    <w:p w:rsidR="006A4944" w:rsidRDefault="006A4944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6A4944" w:rsidRDefault="006A4944" w:rsidP="006A4944">
      <w:pPr>
        <w:widowControl w:val="0"/>
        <w:suppressLineNumbers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Doprecyzowanie opisu przedmiotu zamówienia</w:t>
      </w:r>
    </w:p>
    <w:p w:rsidR="006A4944" w:rsidRDefault="006A4944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6A4944" w:rsidRDefault="006A4944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6A4944" w:rsidRDefault="006A4944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Pakiet I.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tbl>
      <w:tblPr>
        <w:tblW w:w="5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980"/>
        <w:gridCol w:w="594"/>
      </w:tblGrid>
      <w:tr w:rsidR="00A61F2F" w:rsidRPr="00081923" w:rsidTr="00652840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urządzenia / usługi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A61F2F" w:rsidRPr="00081923" w:rsidTr="00652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Zewnętrzna antena sektorowa LTE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61F2F" w:rsidRPr="00081923" w:rsidTr="00652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Instalacja anteny oraz okablowania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61F2F" w:rsidRPr="00081923" w:rsidTr="00652840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Router przemysłowy LTE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OnCell</w:t>
            </w:r>
            <w:proofErr w:type="spellEnd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G3470A-LTE lub inny kompatybilny o lepszych parametrach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61F2F" w:rsidRPr="00081923" w:rsidTr="00652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Rekonfiguracja obecnego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firewall’a</w:t>
            </w:r>
            <w:proofErr w:type="spellEnd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Fortigate</w:t>
            </w:r>
            <w:proofErr w:type="spellEnd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100F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Opis urządzeń i usługi: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Przedmiotem zamówienia jest wykonanie zapasowego przełącza internetowego LTE dla Szpitala Dziecięcego im. Dzieci Warszawy w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Dziekanowie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Leśnym. </w:t>
      </w:r>
      <w:r w:rsid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Do zadań wykonawcy należeć będzie: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dostawa modemu 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dostawa zewnętrznej Anteny 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montaż anteny we wskazanym przez Zamawiającego miejscu, w tym instalacja masztu, jeżeli będzie to niezbędne do poprawnej pracy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wykonanie niezbędnego okablowania między anteną, modemem oraz routerem brzegowym Zamawiającego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rekonfiguracja routera brzegowego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Fortinet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Fortigate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100F pracującego w klastrze HA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Parametry minimalne poszczególnych elementów: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Router LTE, parametry minimalne: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metalowa obudowa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- 2x slot na kartę SIM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obsługa </w:t>
      </w: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2G, 3G, LTE o prędkością DL/UL min.: 230/230kbps (2G), 40/5Mbps (3G),  150/50Mbps (LTE)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możliwość instalacji na szynie DIN oraz montażu ściennego 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min. 2 złącza SMA do podłączenia anteny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min. 2 porty RJ-45 10/100Mbps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pobór mocy nie większy niż 9W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slot na kartę SD (lub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microSD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możliwość pracy kart SIM w trybie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failover</w:t>
      </w:r>
      <w:proofErr w:type="spellEnd"/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wparcie dla: </w:t>
      </w: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IPv4/v6,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Dynamic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Static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PPPoE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PPTP, L2TP, IP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passthrough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porcie WAN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możliwość uruchomienia monitoringu ICMP i/lub DNS na porcie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wsparcie dla: VLAN (TAG i port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based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Static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IPv6, DHCPv6, Port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Forward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Routing statyczny i dynamiczny - RIP1/RIP2, OSPF, BGP na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portcie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LAN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zarządzanie przez WWW, SSH, skrypty, telnet SNMP v3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wbudowany analizator pakietów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wbudowany firewall, IPS, filtr adresów MAC, blokada URL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wparcie dla VPN: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IPSec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2 tunele),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OpenVPN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, PPTP, L2TP, GRE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zakres temperatur pracy: min.  od -28  do 68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st.C</w:t>
      </w:r>
      <w:proofErr w:type="spellEnd"/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zakres wilgotności: min. od 10 do 92%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waga: nie więcej niż 300g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Antena 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dwupolaryzacyjna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zakres częstotliwości: 1710-2170 MHz.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kąt promieniowania: min. 60st dla obu polaryzacji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- 2x złącze SMA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zysk min. 2x 7.8dBi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maksymalna moc wejściowa: 50W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szczelność obudowy min. IP67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temperatura pracy: min. od -35 do 80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st.C</w:t>
      </w:r>
      <w:proofErr w:type="spellEnd"/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zakres regulacji: min. +/- 25st.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waga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maks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: 900g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zakres średnicy masztu: 30-64mm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obsługiwane systemy: pasma LTE - 1, 2, 3, 4, 9, 10, 25, 33, 34, 35, 36, 37, 39, 65, 66, 70; 3G - 2100 MHz; GSM - 1800 MHz, 1900 MHz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Rekonfiguracja klastra </w:t>
      </w:r>
      <w:proofErr w:type="spellStart"/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Fortigate</w:t>
      </w:r>
      <w:proofErr w:type="spellEnd"/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HA: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utworzenie interfejsu IP dla łącza 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skonfigurowanie routingu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skonfigurowanie polityk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firewalla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zaleceniami Zamawiającego oraz zachowaniem zasad dobrej praktyki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konfiguracja łącza LTE jako łącza zapasowego aktywnego w razie awarii łącza podstawowego 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testów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raportu i dokumentacji z wprowadzonych zmian.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1F2F" w:rsidRP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Minimalne wymagania dotyczące W</w:t>
      </w:r>
      <w:r w:rsidR="00A61F2F" w:rsidRPr="000819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ykonawców</w:t>
      </w:r>
      <w:r w:rsidR="00A61F2F"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Instalator musi posiadać min. 5cio letnie doświadczenie w wykonywaniu instalacji GSM/LTE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inżynier przydzielony do projektu odpowiedzialny za konfigurację urządzeń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Fortigate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posiadać min. 5cio letnie doświadczenie w pracy z urządzeniami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Fortigate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posiadać certyfikat firmy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Fortinet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poziomie min. NSE4 potwierdzający zaawansowaną wiedzę na temat konfiguracji rozwiązania. </w:t>
      </w: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Pakiet II.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tbl>
      <w:tblPr>
        <w:tblW w:w="72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00"/>
        <w:gridCol w:w="594"/>
      </w:tblGrid>
      <w:tr w:rsidR="00A61F2F" w:rsidRPr="00081923" w:rsidTr="0065284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urządzenia / usługi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A61F2F" w:rsidRPr="00081923" w:rsidTr="006528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TYP1: Przełącznik 48x1G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PoE</w:t>
            </w:r>
            <w:proofErr w:type="spellEnd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+, 4x10G SFP+,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LifeTime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61F2F" w:rsidRPr="00081923" w:rsidTr="006528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TYP2: Przełącznik 48x1G PoE6, 4x10/25/50G SFP56,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LifeTime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Opis urządzeń i usługi: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Przełącznik Typ1: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48 portów 10/100/1000BASE-T umieszczonych z przodu obudowy ze wsparciem dla protokołu 802.3at (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+)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>Minimum 4 porty 1/10gigabitowe SFP+ umieszczone z przodu obudowy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Przepustowość: minimum 176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Gb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/s (pełna prędkość, tzw.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wire-speed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na wszystkich portach przełącznika)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Wydajność: minimum 130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/s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Bufor pakietów: minimum 7.5 MB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8GB pamięci operacyjnej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Minimum 15GB wewnętrznej pamięci nieulotnej typu Flash (CF, SSD, SD,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eUSB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, SPI Flash).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Dedykowany port do zarządzania poza pasmowego (Ethernet, RJ-45), w pełni niezależny od portów liniowych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Dedykowany port konsoli USB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Port USB 2.0 (niezależny od portu konsoli USB)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Interfejs Bluetooth (dopuszcza się rozwiązanie w postaci adaptera Bluetooth, podłączanego do portu USB przełącznika, przy czym adapter musi pochodzić od tego samego producenta co przełącznik)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Przełączniki tego samego typu muszą posiadać funkcję łączenia w stos (wirtualny przełącznik) złożony z minimum 8 urządzeń. Zarządzanie stosem musi odbywać się z jednego adresu IP. Z punktu widzenia zarządzania przełączniki muszą tworzyć jedno logiczne urządzenie (nie dopuszcza się rozwiązań typu klaster). Jeżeli łączenie w stos wymaga dodatkowych modułów lub licencji to dostarczenie ich jest wymagane w ramach tego postępowania. </w:t>
      </w:r>
      <w:bookmarkStart w:id="0" w:name="_Hlk41409593"/>
      <w:r w:rsidRPr="00081923">
        <w:rPr>
          <w:rFonts w:ascii="Times New Roman" w:eastAsia="Calibri" w:hAnsi="Times New Roman" w:cs="Times New Roman"/>
          <w:sz w:val="24"/>
          <w:szCs w:val="24"/>
        </w:rPr>
        <w:t>Dostępne metody łączenia przełączników muszą umożliwiać realizację stosów na odległość co najmniej 300m.</w:t>
      </w:r>
      <w:bookmarkEnd w:id="0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Realizacja łączy agregowanych w ramach różnych przełączników będących w stosie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Wewnętrzny zasilacz 230V zapewniający budżet mocy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na poziomie nie niższym niż 740W. </w:t>
      </w:r>
      <w:bookmarkStart w:id="1" w:name="_Hlk41409694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Pobór mocy (bez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) nie może być większy niż 80W.</w:t>
      </w:r>
      <w:bookmarkEnd w:id="1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Wielkość tablicy routingu: minimum 2000 wpisów IPv4, 1000 wpisów IPv6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Wielkość tablicy ARP co najmniej 8000 wpisów, wielkość tablicy ND co najmniej 8000 wpisów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Tablica adresów MAC o wielkości minimum 16000 pozycji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Jumbo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Frames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sFlow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Netflow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skryptów w języku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Python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REST API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Wbudowany mechanizm monitoringu, analizy i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troubleshootingu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anomalii i problemów oraz zbierania danych sieciowych. Musi być możliwe podejmowanie akcji na podstawie zdefiniowanych polityk oraz wgrywanie i eksport skryptów pozwalających na indywidualizację monitorowanych danych. Musi być dostępna publicznie strona producenta zawierająca zatwierdzone przez niego, gotowe do użycia skrypty. 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RMON (minimum grupy 1,2,3 i 9)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4094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tagów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IEEE 802.1Q oraz 2000 jednoczesnych sieci VLAN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standardu 802.1v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protokołu MVRP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Wsparcie dla VXLAN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Dostęp do urządzenia przez konsolę szeregową, HTTPS, SSHv2, SNMPv3, </w:t>
      </w: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dedykowaną aplikację na urządzenia mobilne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Rapid Spanning Tree (802.1w)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Multiple Spanning Tree (802.1s)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Secure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FTP lub SCP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łączy agregowanych zgodnie ze standardem 802.3ad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Aggregation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(LACP)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SNTPv4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lub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NTP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Wsparcie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dla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IPv6 (IPv6 host, dual stack, MLD snooping, ND snooping)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protokołów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rutingu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ruting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statyczny, OSPF, OSPFv3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ruchu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multicast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: IGMPv1/v2/v3 (co najmniej 1000 grup), MLD (co najmniej 1000 grup)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IEEE 802.1AB Link Layer Discovery Protocol (LLDP)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LLDP Media Endpoint Discovery (LLDP-MED)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Automatyczna konfiguracja VLAN dla urządzeń VoIP oparta co najmniej o: RADIUS VLAN (użycie atrybutów RADIUS i mechanizmu LLDP-MED)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Mechanizmy związane z zapewnieniem jakości usług w sieci: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prioryteryzacja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zgodna z 802.1p,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ToS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TCP/UDP,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DiffServ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wsparcie dla 8 kolejek sprzętowych,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rate-limiting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uwierzytelniania użytkowników zgodna z 802.1x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użytkowników w oparciu o adres MAC i serwer RADIUS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użytkowników w oparciu o stronę WWW z użyciem zewnętrznego serwera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wielu użytkowników na tym samym porcie w tym samym czasie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autoryzacji logowania do urządzenia za pomocą serwerów RADIUS albo TACACS+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autoryzacji komend wydawanych do urządzenia za pomocą serwerów RADIUS albo TACACS+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Wbudowany serwer DHCP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blokowania nieautoryzowanych serwerów DHCP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mechanizmu wykrywania łączy jednokierunkowych typu Device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Detection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(DLDP),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Uni-Directional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Detection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(UDLD), lub równoważnego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Ochrona przed rekonfiguracją struktury topologii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Spanning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Tree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(BPDU port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list kontroli dostępu (ACL) bazujących na porcie lub na VLAN z uwzględnieniem adresów, MAC, IP i portów TCP/UDP. Co najmniej 5000 wpisów typu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ingress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i 2000 wpisów typu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egress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dla IPv4 i MAC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Wbudowana sonda IP SLA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Zakres pracy od 0 do 45°C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Przełącznik w obudowie 19”. Maksymalna wysokość obudowy 1U, maksymalna głębokość obudowy 35 cm.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Jeżeli do działania któregokolwiek z wymienionych protokołów i funkcji wymagana jest dodatkowa licencja to należy ją dostarczyć w ramach tego postępowania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Wszystkie dostępne na przełączniku funkcje (tak wyspecyfikowane jak i nie wyspecyfikowane) muszą być dostępne przez cały okres jego użytkowania </w:t>
      </w: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(permanentne), nie dopuszcza się licencji czasowych i subskrypcji. 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Dożywotnia (minimum 5 lat po zakończeniu produkcji, przy czym, jeżeli data zakończenia produkcji jest ogłoszona to nie może być ona krótsza niż 2 lata po dostarczeniu sprzętu) gwarancja producenta obejmująca wszystkie elementy przełącznika (również zasilacze i wentylatory) zapewniająca wysyłkę sprzętu na podmianę maksymalnie na następny dzień roboczy. Serwis musi zapewniać również dostęp do poprawek i aktualizacji oprogramowania przez cały okres trwania gwarancji. Serwis musi być świadczony bezpośrednio przez producenta sprzętu w języku polskim. Cała komunikacja odbywać się musi bezpośrednio pomiędzy Zamawiającym i producentem sprzętu.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Przełącznik Typ2: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Minimum 48 portów 1000BaseT z wsparciem dla standardów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(standardy 802.3af i 802.3at), umieszczone z przodu obudowy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4 porty 1/10/25/50-gigabitowe SFP56 umieszczone z przodu obudowy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Przepustowość: minimum 496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Gb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/s (pełna prędkość, tzw.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wire-speed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na wszystkich portach przełącznika)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Wydajność: minimum 360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/s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Bufor pakietów: minimum 7.5 MB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8GB pamięci operacyjnej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Minimum 30GB wewnętrznej pamięci nieulotnej typu Flash (CF, SSD, SD,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eUSB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, SPI Flash).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Dedykowany port do zarządzania poza pasmowego (Ethernet, RJ-45), w pełni niezależny od portów liniowych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Dedykowany port konsoli USB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Port USB 2.0 (niezależny od portu konsoli USB)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Interfejs Bluetooth (dopuszcza się rozwiązanie w postaci adaptera Bluetooth, podłączanego do portu USB przełącznika, przy czym adapter musi pochodzić od tego samego producenta co przełącznik)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Przełączniki tego samego typu muszą posiadać funkcję łączenia w stos (wirtualny przełącznik) złożony z minimum 10 urządzeń. Zarządzanie stosem musi odbywać się z jednego adresu IP. Z punktu widzenia zarządzania przełączniki muszą tworzyć jedno logiczne urządzenie (nie dopuszcza się rozwiązań typu klaster). Jeżeli łączenie w stos wymaga dodatkowych modułów lub licencji to dostarczenie ich jest wymagane w ramach tego postępowania.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Łączenie w stos z wykorzystaniem portów 10Gb, 25Gb, 50Gb i agregowanych portów 10Gb, 25Gb i 50Gb (w celu zwiększenia przepustowości w stosie). </w:t>
      </w:r>
      <w:bookmarkStart w:id="2" w:name="_Hlk43033978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Musi być możliwe stworzenie stosu z urządzeń oddalonych od siebie o co najmniej 1000 metrów. </w:t>
      </w:r>
    </w:p>
    <w:bookmarkEnd w:id="2"/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Realizacja łączy agregowanych w ramach różnych przełączników będących w stosie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Dwa wbudowane (wewnętrzne, modularne) zasilacze AC dla zapewnienia redundancji zasilania, wymieniane podczas pracy urządzenia.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Budżet mocy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przy zastosowaniu dwóch zasilaczy co najmniej 1440W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Modularne, redundantne wentylatory, podzielone na co najmniej dwa niezależne moduły. Moduły wentylatorów musi mieć możliwość wymiany „na gorąco” (na działającym urządzeniu)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>Wielkość tablicy routingu: minimum 60000 wpisów IPv4, 30000 wpisów IPv6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Tablica adresów MAC o wielkości minimum 32000 pozycji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Jumbo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Frames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sFlow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Netflow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skryptów w języku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Python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REST API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Wbudowany mechanizm monitoringu, analizy i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troubleshootingu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anomalii i problemów oraz zbierania danych sieciowych. Musi być możliwe podejmowanie akcji na podstawie zdefiniowanych polityk oraz wgrywanie i eksport skryptów pozwalających na indywidualizację monitorowanych danych. Musi być dostępna publicznie strona producenta zawierająca zatwierdzone przez niego, gotowe do użycia skrypty. 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RMON (minimum grupy 1,2,3 i 9)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4094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tagów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IEEE 802.1Q oraz 2000 jednoczesnych sieci VLAN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standardu 802.1v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protokołu MVRP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Wsparcie dla VXLAN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Obsługa Microsoft Network Load Balancer (NLB)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Dostęp do urządzenia przez konsolę szeregową, HTTPS, SSHv2, SNMPv3, dedykowaną aplikację na urządzenia mobilne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Rapid Spanning Tree (802.1w)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Multiple Spanning Tree (802.1s)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Secure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FTP lub SCP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łączy agregowanych zgodnie ze standardem 802.3ad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Aggregation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(LACP)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SNTPv4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lub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NTP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Wsparcie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dla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IPv6 (IPv6 host, dual stack, MLD snooping, ND snooping)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protokołów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rutingu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ruting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statyczny, OSPF, OSPFv3, BGP, MP-BGP,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Obsłyga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ruchu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multicast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: IGMPv1/v2/v3, PIM-SM, PIM-DM, MSDP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VRRP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ECMP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IEEE 802.1AB Link Layer Discovery Protocol (LLDP)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LLDP Media Endpoint Discovery (LLDP-MED)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Automatyczna konfiguracja VLAN dla urządzeń VoIP oparta co najmniej o: RADIUS VLAN (użycie atrybutów RADIUS i mechanizmu LLDP-MED)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Mechanizmy związane z zapewnieniem jakości usług w sieci: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prioryteryzacja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zgodna z 802.1p,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ToS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TCP/UDP,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DiffServ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wsparcie dla 8 kolejek sprzętowych,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rate-limiting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uwierzytelniania użytkowników zgodna z 802.1x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użytkowników w oparciu o adres MAC i serwer RADIUS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użytkowników w oparciu o stronę WWW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wielu użytkowników na tym samym porcie w tym samym czasie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autoryzacji logowania do urządzenia za pomocą serwerów RADIUS albo TACACS+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autoryzacji komend wydawanych do urządzenia za pomocą serwerów RADIUS albo TACACS+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>Wbudowany serwer DHCP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funkcji User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Datagram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(UDP)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helper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blokowania nieautoryzowanych serwerów DHCP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mechanizmu wykrywania łączy jednokierunkowych typu Device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Detection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(DLDP),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Uni-Directional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Detection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(UDLD), lub równoważnego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Ochrona przed rekonfiguracją struktury topologii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Spanning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Tree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(BPDU port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list kontroli dostępu (ACL) bazujących na porcie lub na VLAN z uwzględnieniem adresów, MAC, IP i portów TCP/UDP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Zakres pracy od 0 do 45°C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Przełącznik w obudowie 19”. Maksymalna wysokość obudowy 1U, maksymalna </w:t>
      </w:r>
      <w:r w:rsidRPr="00081923">
        <w:rPr>
          <w:rFonts w:ascii="Times New Roman" w:eastAsia="Calibri" w:hAnsi="Times New Roman" w:cs="Times New Roman"/>
          <w:color w:val="000000"/>
          <w:sz w:val="24"/>
          <w:szCs w:val="24"/>
        </w:rPr>
        <w:t>głębokość obudowy 40 cm.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Jeżeli do działania któregokolwiek z wymienionych protokołów i funkcji wymagana jest dodatkowa licencja to należy ją dostarczyć w ramach tego postępowania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Wszystkie dostępne na przełączniku funkcje (tak wyspecyfikowane jak i nie wyspecyfikowane) muszą być dostępne przez cały okres jego użytkowania (permanentne), nie dopuszcza się licencji czasowych i subskrypcji. 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Dożywotnia (minimum 5 lat po zakończeniu produkcji, przy czym, jeżeli data zakończenia produkcji jest ogłoszona to nie może być ona krótsza niż 2 lata po dostarczeniu sprzętu) gwarancja producenta obejmująca wszystkie elementy przełącznika (również zasilacze i wentylatory) zapewniająca wysyłkę sprzętu na podmianę maksymalnie na następny dzień roboczy. Serwis musi zapewniać również dostęp do poprawek i aktualizacji oprogramowania przez cały okres trwania gwarancji. Serwis musi być świadczony bezpośrednio przez producenta sprzętu w języku polskim. Cała komunikacja odbywać się musi bezpośrednio pomiędzy Zamawiającym i producentem sprzętu.</w:t>
      </w:r>
    </w:p>
    <w:p w:rsidR="006A4944" w:rsidRPr="00EF0640" w:rsidRDefault="006A4944" w:rsidP="006A494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640">
        <w:rPr>
          <w:rFonts w:ascii="Times New Roman" w:hAnsi="Times New Roman" w:cs="Times New Roman"/>
          <w:b/>
          <w:bCs/>
          <w:sz w:val="24"/>
          <w:szCs w:val="24"/>
          <w:u w:val="single"/>
        </w:rPr>
        <w:t>Doprecyzowanie opisu przedmiotu zamówienia</w:t>
      </w:r>
      <w:r w:rsidR="00EF06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223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wymagań </w:t>
      </w:r>
      <w:bookmarkStart w:id="3" w:name="_GoBack"/>
      <w:bookmarkEnd w:id="3"/>
      <w:r w:rsidR="00EF06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14.12.2020r. </w:t>
      </w:r>
    </w:p>
    <w:p w:rsidR="006A4944" w:rsidRPr="006A4944" w:rsidRDefault="006A4944" w:rsidP="00EF06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4944">
        <w:rPr>
          <w:rFonts w:ascii="Times New Roman" w:hAnsi="Times New Roman" w:cs="Times New Roman"/>
          <w:b/>
          <w:bCs/>
          <w:sz w:val="24"/>
          <w:szCs w:val="24"/>
        </w:rPr>
        <w:t>Sprzęt dostarczony w ramach realizacji powyższego zamówienia powinien posiadać wszelkie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944">
        <w:rPr>
          <w:rFonts w:ascii="Times New Roman" w:hAnsi="Times New Roman" w:cs="Times New Roman"/>
          <w:b/>
          <w:bCs/>
          <w:sz w:val="24"/>
          <w:szCs w:val="24"/>
        </w:rPr>
        <w:t xml:space="preserve">wymagane przez przepisy prawa świadectwa, certyfikaty, atesty, deklaracje zgodności ( certyfikat CE lub deklarację zgodności ze znakiem CE, itp.) oraz powinien spełniać wszelkie wymagane przez prawa wymogi w zakresie norm bezpieczeństwa obsługi. (nazwa, cechy, ilość, jednostka miary). Dodatkowo sprzęt musi być fabrycznie nowy, nie dopuszcza się dostawy sprzętu pochodzącego z naprawy lub odsprzedaży (poleasingowy). Urządzenia powinny pochodzić z oficjalnego kanału dystrybucji producenta. Urządzenia muszą być dedykowane dla projektu Zamawiającego, nie mogą pochodzić z innych projektów.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A4944">
        <w:rPr>
          <w:rFonts w:ascii="Times New Roman" w:hAnsi="Times New Roman" w:cs="Times New Roman"/>
          <w:b/>
          <w:bCs/>
          <w:sz w:val="24"/>
          <w:szCs w:val="24"/>
        </w:rPr>
        <w:t>Zamawiający zastrzega sobie prawo weryfikacji dostarczanego sprzętu u Producenta przed podpisaniem protokołu odbioru.</w:t>
      </w:r>
      <w:r w:rsidR="00EF064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A4944">
        <w:rPr>
          <w:rFonts w:ascii="Times New Roman" w:hAnsi="Times New Roman" w:cs="Times New Roman"/>
          <w:b/>
          <w:bCs/>
          <w:sz w:val="24"/>
          <w:szCs w:val="24"/>
        </w:rPr>
        <w:t>Wykonawca zobowiązuje się do posiadania odpowiednich uprawnień do wykonywania określonej  działalności oraz dysponowania odpowiednim potencjałem technicznym;</w:t>
      </w:r>
    </w:p>
    <w:p w:rsidR="006A4944" w:rsidRPr="006A4944" w:rsidRDefault="006A4944" w:rsidP="006A49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944">
        <w:rPr>
          <w:rFonts w:ascii="Times New Roman" w:hAnsi="Times New Roman" w:cs="Times New Roman"/>
          <w:b/>
          <w:bCs/>
          <w:sz w:val="24"/>
          <w:szCs w:val="24"/>
        </w:rPr>
        <w:t>Bezpłatna dostawa dotycząca wniesienia, rozładunku oraz montażu w miejscu przyszłej eksploatacji nastąpi do siedziby Zamawiającego na koszt i ryzyko Wykonawcy własnym środkiem transportu;</w:t>
      </w:r>
    </w:p>
    <w:p w:rsidR="006A4944" w:rsidRPr="006A4944" w:rsidRDefault="006A4944" w:rsidP="006A49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944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 zobowiązuje się dokonać u odbiorcy instalacji dostarczonego sprzętu i  zobowiązuje się  przekazać go  do eksploatacji ( montaż, pierwsze uruchomienie).</w:t>
      </w:r>
    </w:p>
    <w:p w:rsidR="006A4944" w:rsidRPr="006A4944" w:rsidRDefault="006A4944" w:rsidP="006A49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944">
        <w:rPr>
          <w:rFonts w:ascii="Times New Roman" w:hAnsi="Times New Roman" w:cs="Times New Roman"/>
          <w:b/>
          <w:bCs/>
          <w:sz w:val="24"/>
          <w:szCs w:val="24"/>
        </w:rPr>
        <w:t>Normy bezpieczeństwa i obsługi dot. dostarczanego sprzętu powinny być dostarczone Zamawiającemu na każde żądanie;</w:t>
      </w:r>
    </w:p>
    <w:p w:rsidR="006A4944" w:rsidRPr="006A4944" w:rsidRDefault="006A4944" w:rsidP="00EF06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944">
        <w:rPr>
          <w:rFonts w:ascii="Times New Roman" w:hAnsi="Times New Roman" w:cs="Times New Roman"/>
          <w:b/>
          <w:bCs/>
          <w:sz w:val="24"/>
          <w:szCs w:val="24"/>
        </w:rPr>
        <w:t>Sprzęt musi posiadać autoryzowany serwis gwarancyjny i pogwarancyjny na terenie Polski.</w:t>
      </w:r>
      <w:r w:rsidR="00EF06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944">
        <w:rPr>
          <w:rFonts w:ascii="Times New Roman" w:hAnsi="Times New Roman" w:cs="Times New Roman"/>
          <w:b/>
          <w:bCs/>
          <w:sz w:val="24"/>
          <w:szCs w:val="24"/>
        </w:rPr>
        <w:t>Oferowany sprzęt musi spełniać wymogi specyfikacji technicznej;</w:t>
      </w:r>
    </w:p>
    <w:p w:rsidR="00B504BC" w:rsidRDefault="006A4944" w:rsidP="006A49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944">
        <w:rPr>
          <w:rFonts w:ascii="Times New Roman" w:hAnsi="Times New Roman" w:cs="Times New Roman"/>
          <w:b/>
          <w:bCs/>
          <w:sz w:val="24"/>
          <w:szCs w:val="24"/>
        </w:rPr>
        <w:t>Dostarczany sprzęt musi być wolny od wad fizycznych i prawnych oraz powinien posiadać w komplecie instrukcję obsługi i menu w języku polskim, musi być fabrycznie nowy, nie powystawowy, kompletny i po zainstalowaniu  gotowy do eksploatacji, bez żadnych dodatkowych zakupów i inwestycji (poza typowymi materiałami eksploatacyjnymi);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W przypadku pakietu 2 w ramach instalacji i konfiguracji Zamawiający wymaga: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- montaż urządzeń w miejscach wskazanych przez Zamawiającego,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- podłączenie okablowania oraz przygotowanie dokumentacji odwzorowującej sposób podłączenia,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- rekonfiguracji istniejących przełączników Zamawiającego HPE 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FlexFabric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 5700, w zakresie: LACP, VRRP, 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VLAN's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>, Access list,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- na nowych przełącznikach konfigurację: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- LACP, link-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aggregation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 (do min. 2 istniejących węzłów), utworzenie wszystkich 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VLANów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 istniejących w infrastrukturze Zamawiającego, 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- konfiguracja 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VLANów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 na wszystkich portach w dostarczanych przełącznikach wg wytycznych Zamawiającego,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- konfiguracja zarządzania Out-of-Band,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- konfiguracja 802.1x na wybranych portach,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- wyłączenie 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SpanningTee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 oraz uruchomienie mechanizmu wykrywającego i zapobiegającego powstawaniu pętli (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loop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detection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protection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- konfiguracja VRRP do współpracy z istniejącymi przełącznikami Zamawiającego.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Zamawiający wymaga, aby osoba odpowiedzialna za wdrożenie przedmiotu zamówienia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pakiet nr 2 </w:t>
      </w:r>
      <w:r w:rsidRPr="00EE06E0">
        <w:rPr>
          <w:rFonts w:ascii="Times New Roman" w:hAnsi="Times New Roman" w:cs="Times New Roman"/>
          <w:b/>
          <w:bCs/>
          <w:sz w:val="24"/>
          <w:szCs w:val="24"/>
        </w:rPr>
        <w:t>(konfigurację i szkolenie) posiadała co najmniej: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>- certyfikat producenta dostarczanego sprzętu potwierdzający umiejętność projektowania rozwiązań opartych o oferowane urządzenia na poziomie minimum profesjonalisty,</w:t>
      </w:r>
    </w:p>
    <w:p w:rsidR="00EE06E0" w:rsidRPr="00EE06E0" w:rsidRDefault="00EE06E0" w:rsidP="00EE06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- Zamawiający wymaga, aby osoba odpowiedzialna za konfigurację posiadała certyfikat techniczny Producenta przełącznika </w:t>
      </w:r>
      <w:proofErr w:type="spellStart"/>
      <w:r w:rsidRPr="00EE06E0">
        <w:rPr>
          <w:rFonts w:ascii="Times New Roman" w:hAnsi="Times New Roman" w:cs="Times New Roman"/>
          <w:b/>
          <w:bCs/>
          <w:sz w:val="24"/>
          <w:szCs w:val="24"/>
        </w:rPr>
        <w:t>FlexFabric</w:t>
      </w:r>
      <w:proofErr w:type="spellEnd"/>
      <w:r w:rsidRPr="00EE06E0">
        <w:rPr>
          <w:rFonts w:ascii="Times New Roman" w:hAnsi="Times New Roman" w:cs="Times New Roman"/>
          <w:b/>
          <w:bCs/>
          <w:sz w:val="24"/>
          <w:szCs w:val="24"/>
        </w:rPr>
        <w:t xml:space="preserve"> 5700, potwierdzający znajomość rozwiązania na poziomie minimum profesjonalisty.</w:t>
      </w:r>
    </w:p>
    <w:p w:rsidR="00EE06E0" w:rsidRPr="006A4944" w:rsidRDefault="00EE06E0" w:rsidP="006A49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06E0" w:rsidRPr="006A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14DF4"/>
    <w:multiLevelType w:val="hybridMultilevel"/>
    <w:tmpl w:val="074AE3AE"/>
    <w:lvl w:ilvl="0" w:tplc="3EA6D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B4546"/>
    <w:multiLevelType w:val="hybridMultilevel"/>
    <w:tmpl w:val="074AE3AE"/>
    <w:lvl w:ilvl="0" w:tplc="3EA6D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2F"/>
    <w:rsid w:val="00081923"/>
    <w:rsid w:val="0045723C"/>
    <w:rsid w:val="006A4944"/>
    <w:rsid w:val="007223A2"/>
    <w:rsid w:val="00A61F2F"/>
    <w:rsid w:val="00B504BC"/>
    <w:rsid w:val="00EE06E0"/>
    <w:rsid w:val="00E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FAF9"/>
  <w15:chartTrackingRefBased/>
  <w15:docId w15:val="{25ED67DD-BDAC-4DD7-A1A9-595BBA97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7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2621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4</cp:revision>
  <cp:lastPrinted>2020-12-14T08:14:00Z</cp:lastPrinted>
  <dcterms:created xsi:type="dcterms:W3CDTF">2020-12-14T07:40:00Z</dcterms:created>
  <dcterms:modified xsi:type="dcterms:W3CDTF">2020-12-14T13:12:00Z</dcterms:modified>
</cp:coreProperties>
</file>