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54" w:rsidRPr="00D679F2" w:rsidRDefault="00390754" w:rsidP="00390754">
      <w:pPr>
        <w:tabs>
          <w:tab w:val="left" w:pos="142"/>
        </w:tabs>
        <w:jc w:val="both"/>
        <w:rPr>
          <w:b/>
          <w:color w:val="000000"/>
          <w:spacing w:val="-7"/>
          <w:sz w:val="16"/>
          <w:szCs w:val="16"/>
        </w:rPr>
      </w:pPr>
    </w:p>
    <w:tbl>
      <w:tblPr>
        <w:tblW w:w="105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89"/>
        <w:gridCol w:w="1701"/>
        <w:gridCol w:w="3402"/>
        <w:gridCol w:w="222"/>
        <w:gridCol w:w="18"/>
      </w:tblGrid>
      <w:tr w:rsidR="00390754" w:rsidRPr="00193D09" w:rsidTr="005268E0">
        <w:trPr>
          <w:trHeight w:val="673"/>
          <w:jc w:val="center"/>
        </w:trPr>
        <w:tc>
          <w:tcPr>
            <w:tcW w:w="10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D679F2">
            <w:pPr>
              <w:jc w:val="center"/>
              <w:rPr>
                <w:b/>
                <w:color w:val="000000"/>
                <w:spacing w:val="-7"/>
                <w:sz w:val="22"/>
                <w:szCs w:val="22"/>
              </w:rPr>
            </w:pPr>
            <w:r w:rsidRPr="00193D09">
              <w:rPr>
                <w:b/>
                <w:color w:val="000000"/>
                <w:spacing w:val="-7"/>
                <w:sz w:val="22"/>
                <w:szCs w:val="22"/>
              </w:rPr>
              <w:t>Robot medyczny - 1 zestaw</w:t>
            </w: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Lp.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Opis parametru wymaganego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b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Parametr wymagany</w:t>
            </w:r>
            <w:r w:rsidRPr="00193D09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 xml:space="preserve"> TAK/NIE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Opis parametru oferowanego</w:t>
            </w:r>
            <w:r w:rsidR="00525D34">
              <w:rPr>
                <w:rFonts w:eastAsia="Calibri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 xml:space="preserve"> (niezbędny również do oceny równoważności)</w:t>
            </w:r>
            <w:bookmarkStart w:id="0" w:name="_GoBack"/>
            <w:bookmarkEnd w:id="0"/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-2210"/>
              <w:jc w:val="right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390754" w:rsidRPr="00193D09" w:rsidTr="005268E0">
        <w:trPr>
          <w:gridAfter w:val="1"/>
          <w:wAfter w:w="18" w:type="dxa"/>
          <w:trHeight w:val="38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b/>
                <w:sz w:val="22"/>
                <w:szCs w:val="22"/>
                <w:bdr w:val="nil"/>
              </w:rPr>
              <w:t>Warunki ogólne</w:t>
            </w: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sz w:val="22"/>
                <w:szCs w:val="22"/>
                <w:bdr w:val="nil"/>
              </w:rPr>
              <w:t>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sz w:val="22"/>
                <w:szCs w:val="22"/>
                <w:bdr w:val="nil"/>
              </w:rPr>
              <w:t>Sprzęt fabrycznie nowy, nie używany do prezentacji, nie powystawowy, wyprodukowany nie wcześniej niż w 2021 roku (wszystkie elementy składowe i podzespoły fabrycznie nowe).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150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-29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Wykonawca powinien zapewnić 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>7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letnią gwarancję (84 miesiące) prawidłowego działania oferowanego urządzenia, obejmującą części składowe i zamienne, wymagane opłaty licencyjne oraz serwis (pełna gwarancja).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suppressAutoHyphens w:val="0"/>
              <w:autoSpaceDE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sz w:val="22"/>
                <w:szCs w:val="22"/>
                <w:bdr w:val="nil"/>
              </w:rPr>
              <w:t xml:space="preserve"> </w:t>
            </w:r>
          </w:p>
        </w:tc>
      </w:tr>
      <w:tr w:rsidR="00390754" w:rsidRPr="00193D09" w:rsidTr="006E2BD6">
        <w:trPr>
          <w:gridAfter w:val="1"/>
          <w:wAfter w:w="18" w:type="dxa"/>
          <w:trHeight w:val="148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3.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-29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Okres zagwarantowania dostępności i możliwości zakupu części zamiennych oraz wyposażenia eksploatacyjnego powinien wynosić minimum 10 lat od daty sprzedaży urządzenia.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suppressAutoHyphens w:val="0"/>
              <w:autoSpaceDE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4.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-29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Dostarczone urządzenie powinno być bezwzględnie wyposażone we wszystkie niezbędne do prawidłowej pracy akcesoria , instrukcję obsługi w języku polskim (również w języku angielskim). Dopuszczalna forma  dostarczenia instrukcji obsługi w formie  pisemnej albo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elektronicznnej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5.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-29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Od Wykonawcy wymaga się zainstalowania dostarczonych urządzeń i przeszkolenia personelu medycznego w zakresie ich obsługi.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6.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193D09">
              <w:rPr>
                <w:sz w:val="22"/>
                <w:szCs w:val="22"/>
              </w:rPr>
              <w:t>Czas reakcji serwisu w okresie gwarancji  maksimum 48 godziny w dni robocze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7.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193D09">
              <w:rPr>
                <w:sz w:val="22"/>
                <w:szCs w:val="22"/>
              </w:rPr>
              <w:t>W okresie gwarancji Wykonawca zobowiązany jest do przeprowadzenia nieodpłatnych przeglądów zgodnie z zaleceniami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8.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193D09">
              <w:rPr>
                <w:sz w:val="22"/>
                <w:szCs w:val="22"/>
              </w:rPr>
              <w:t>Oferent przedstawi wykaz serwisów z autoryzacją producenta do serwisowania oferowanego urządzenia wraz z adresami i numerami telefonu kontaktowego do tych serwisów.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Tak/Podać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91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lastRenderedPageBreak/>
              <w:t>9.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color w:val="FF0000"/>
                <w:sz w:val="22"/>
                <w:szCs w:val="22"/>
              </w:rPr>
            </w:pPr>
            <w:r w:rsidRPr="00193D09">
              <w:rPr>
                <w:color w:val="FF0000"/>
                <w:sz w:val="22"/>
                <w:szCs w:val="22"/>
              </w:rPr>
              <w:t>Możliwość zdalnej diagnostyki urządzenia  za pośrednictwem udostępnionego przez Zamawiając</w:t>
            </w:r>
            <w:r w:rsidR="008F2C10">
              <w:rPr>
                <w:color w:val="FF0000"/>
                <w:sz w:val="22"/>
                <w:szCs w:val="22"/>
              </w:rPr>
              <w:t>e</w:t>
            </w:r>
            <w:r w:rsidRPr="00193D09">
              <w:rPr>
                <w:color w:val="FF0000"/>
                <w:sz w:val="22"/>
                <w:szCs w:val="22"/>
              </w:rPr>
              <w:t>go tunelu VPN.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10.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Wykonawca w czasie trwania gwarancji zapewni aktualizację oprogramowania  do najnowszej wersji wraz z licencją na to oprogramowanie.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Zasilanie 230 V/  ± 10% / 50 </w:t>
            </w:r>
            <w:proofErr w:type="spellStart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Hz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Tak/ 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12.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Możliwość nagrywania wykonanych zabiegów operacyjnych na nośnikach zewnętrznych. Wykonawca dostarczy karty pamięci w ilości min. 50 szt. o pojemności min.64 GB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5268E0">
        <w:trPr>
          <w:gridAfter w:val="1"/>
          <w:wAfter w:w="18" w:type="dxa"/>
          <w:trHeight w:val="501"/>
          <w:jc w:val="center"/>
        </w:trPr>
        <w:tc>
          <w:tcPr>
            <w:tcW w:w="10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D679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b/>
                <w:sz w:val="22"/>
                <w:szCs w:val="22"/>
                <w:bdr w:val="nil"/>
              </w:rPr>
              <w:t>Wymagania szczegółowe</w:t>
            </w: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>Zrobotyzowany system chirurgiczny składający się w skład którego wchodzą takie elementy jak;</w:t>
            </w:r>
          </w:p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autoSpaceDN w:val="0"/>
              <w:spacing w:after="160"/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>1. Konsola chirurgiczna</w:t>
            </w:r>
          </w:p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autoSpaceDN w:val="0"/>
              <w:spacing w:after="160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 xml:space="preserve">2. ramiona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>robotyczne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 xml:space="preserve"> w ilości min.4 szt.</w:t>
            </w:r>
          </w:p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autoSpaceDN w:val="0"/>
              <w:spacing w:after="160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>3. Zestaw  narzędzi i akcesoriów</w:t>
            </w:r>
          </w:p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autoSpaceDN w:val="0"/>
              <w:spacing w:after="160"/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>4. licencja na użytkowanie oprogramowania</w:t>
            </w:r>
          </w:p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autoSpaceDN w:val="0"/>
              <w:spacing w:after="160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val="single" w:color="000000"/>
                <w:bdr w:val="nil"/>
                <w:lang w:eastAsia="pl-PL"/>
              </w:rPr>
              <w:t>5. Symulator treningowy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System chirurgiczny zapewniający transmisję ruchów rąk chirurga z niezależnej konsoli chirurgicznej do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robotycznego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ramienia.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System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robotyczny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wyposażony w ramiona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robotyczne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w takiej konfiguracji, która  umożliwia dowolny dostęp do pola operacyjnego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4.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Zastosowanie robota medycznego do wykonania 750 zabiegów z możliwością wymiany poszczególnych zestawów narzędzi(nieodpłatnych).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</w:p>
          <w:p w:rsidR="00390754" w:rsidRPr="00193D09" w:rsidRDefault="00390754" w:rsidP="00EA5FE3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Kamica nerki                                        75 zabiegów</w:t>
            </w:r>
          </w:p>
          <w:p w:rsidR="00165308" w:rsidRDefault="00390754" w:rsidP="00EA5FE3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Nefrectomia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                                   </w:t>
            </w:r>
          </w:p>
          <w:p w:rsidR="00390754" w:rsidRPr="00193D09" w:rsidRDefault="00390754" w:rsidP="00165308">
            <w:pPr>
              <w:widowControl/>
              <w:suppressLineNumbers w:val="0"/>
              <w:suppressAutoHyphens w:val="0"/>
              <w:autoSpaceDE/>
              <w:spacing w:after="160"/>
              <w:ind w:left="765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75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Heminefrectomia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                                  40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plastyka miedniczkowo moczowodowa                                                      75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torbiele </w:t>
            </w: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krężki</w:t>
            </w:r>
            <w:proofErr w:type="spellEnd"/>
          </w:p>
          <w:p w:rsidR="00390754" w:rsidRPr="00193D09" w:rsidRDefault="00390754" w:rsidP="00EA5FE3">
            <w:pPr>
              <w:widowControl/>
              <w:suppressLineNumbers w:val="0"/>
              <w:suppressAutoHyphens w:val="0"/>
              <w:autoSpaceDE/>
              <w:spacing w:after="160"/>
              <w:ind w:left="765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30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lastRenderedPageBreak/>
              <w:t xml:space="preserve">reimplantacja moczowodu metodą </w:t>
            </w:r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Lich-</w:t>
            </w:r>
            <w:proofErr w:type="spellStart"/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Gregior</w:t>
            </w:r>
            <w:proofErr w:type="spellEnd"/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 xml:space="preserve">                                       45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usuwanie uchyłków pęcherza           30 zabiegów</w:t>
            </w:r>
          </w:p>
          <w:p w:rsidR="006E2BD6" w:rsidRDefault="00390754" w:rsidP="006E2BD6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proofErr w:type="spellStart"/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appendec</w:t>
            </w:r>
            <w:r w:rsidR="006E2BD6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tomia</w:t>
            </w:r>
            <w:proofErr w:type="spellEnd"/>
            <w:r w:rsidR="006E2BD6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 xml:space="preserve">  </w:t>
            </w:r>
          </w:p>
          <w:p w:rsidR="00390754" w:rsidRPr="00193D09" w:rsidRDefault="00390754" w:rsidP="006E2BD6">
            <w:pPr>
              <w:widowControl/>
              <w:suppressLineNumbers w:val="0"/>
              <w:suppressAutoHyphens w:val="0"/>
              <w:autoSpaceDE/>
              <w:spacing w:after="160"/>
              <w:ind w:left="765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105 zabiegów</w:t>
            </w:r>
          </w:p>
          <w:p w:rsidR="006E2BD6" w:rsidRDefault="00390754" w:rsidP="006E2BD6">
            <w:pPr>
              <w:widowControl/>
              <w:numPr>
                <w:ilvl w:val="0"/>
                <w:numId w:val="3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kamica moczowodu</w:t>
            </w:r>
          </w:p>
          <w:p w:rsidR="00390754" w:rsidRPr="006E2BD6" w:rsidRDefault="00390754" w:rsidP="006E2BD6">
            <w:pPr>
              <w:widowControl/>
              <w:suppressLineNumbers w:val="0"/>
              <w:suppressAutoHyphens w:val="0"/>
              <w:autoSpaceDE/>
              <w:spacing w:after="160"/>
              <w:ind w:left="765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6E2BD6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30 zabiegów</w:t>
            </w:r>
          </w:p>
          <w:p w:rsidR="006E2BD6" w:rsidRDefault="00390754" w:rsidP="006E2BD6">
            <w:pPr>
              <w:widowControl/>
              <w:numPr>
                <w:ilvl w:val="0"/>
                <w:numId w:val="4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augmentacja pęcherza</w:t>
            </w:r>
          </w:p>
          <w:p w:rsidR="00390754" w:rsidRPr="006E2BD6" w:rsidRDefault="00390754" w:rsidP="006E2BD6">
            <w:pPr>
              <w:widowControl/>
              <w:suppressLineNumbers w:val="0"/>
              <w:suppressAutoHyphens w:val="0"/>
              <w:autoSpaceDE/>
              <w:spacing w:after="160"/>
              <w:ind w:left="765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6E2BD6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30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4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operacje żylaków powrózka nasiennego                                         45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4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  <w:lang w:eastAsia="pl-PL"/>
              </w:rPr>
              <w:t>laparoskopia zwiadowcza w przypadku wnętrostwa brzusznego                                                 45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4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cholecystectomia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                                   45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4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splenectomia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                                        30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4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resekcja torbieli jelita i inne zabiegi w obrębie jamy brzusznej                 </w:t>
            </w:r>
            <w:r w:rsidR="007E00B1">
              <w:rPr>
                <w:rFonts w:eastAsia="Times New Roman"/>
                <w:sz w:val="22"/>
                <w:szCs w:val="22"/>
                <w:lang w:eastAsia="pl-PL"/>
              </w:rPr>
              <w:br/>
            </w: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30 zabiegów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4"/>
              </w:numPr>
              <w:suppressLineNumbers w:val="0"/>
              <w:suppressAutoHyphens w:val="0"/>
              <w:autoSpaceDE/>
              <w:spacing w:after="1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niedrożność przewodu pokarmowego                                   20 zabiegów</w:t>
            </w:r>
          </w:p>
          <w:p w:rsidR="00390754" w:rsidRPr="00193D09" w:rsidRDefault="00390754" w:rsidP="00EA5FE3">
            <w:pPr>
              <w:widowControl/>
              <w:suppressLineNumbers w:val="0"/>
              <w:suppressAutoHyphens w:val="0"/>
              <w:autoSpaceDE/>
              <w:ind w:left="360"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Zestaw podstawowych narzędzi składający się z: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2"/>
              </w:numPr>
              <w:suppressLineNumbers w:val="0"/>
              <w:suppressAutoHyphens w:val="0"/>
              <w:autoSpaceDE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Optyki 0 ° lub 30 °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2"/>
              </w:numPr>
              <w:suppressLineNumbers w:val="0"/>
              <w:suppressAutoHyphens w:val="0"/>
              <w:autoSpaceDE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Nożyczek zakrzywionych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2"/>
              </w:numPr>
              <w:suppressLineNumbers w:val="0"/>
              <w:suppressAutoHyphens w:val="0"/>
              <w:autoSpaceDE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Monopolarnych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nożyczek zakrzywionych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2"/>
              </w:numPr>
              <w:suppressLineNumbers w:val="0"/>
              <w:suppressAutoHyphens w:val="0"/>
              <w:autoSpaceDE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Bipolarnego </w:t>
            </w: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graspera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typu Maryland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2"/>
              </w:numPr>
              <w:suppressLineNumbers w:val="0"/>
              <w:suppressAutoHyphens w:val="0"/>
              <w:autoSpaceDE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Imadła do nici</w:t>
            </w:r>
          </w:p>
          <w:p w:rsidR="00390754" w:rsidRPr="00193D09" w:rsidRDefault="00390754" w:rsidP="00EA5FE3">
            <w:pPr>
              <w:widowControl/>
              <w:numPr>
                <w:ilvl w:val="0"/>
                <w:numId w:val="2"/>
              </w:numPr>
              <w:suppressLineNumbers w:val="0"/>
              <w:suppressAutoHyphens w:val="0"/>
              <w:autoSpaceDE/>
              <w:contextualSpacing/>
              <w:rPr>
                <w:rFonts w:eastAsia="Times New Roman"/>
                <w:sz w:val="22"/>
                <w:szCs w:val="22"/>
                <w:lang w:eastAsia="pl-PL"/>
              </w:rPr>
            </w:pP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Graspera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okienkowego</w:t>
            </w:r>
          </w:p>
          <w:p w:rsidR="00390754" w:rsidRPr="00D679F2" w:rsidRDefault="00390754" w:rsidP="00D679F2">
            <w:pPr>
              <w:widowControl/>
              <w:suppressLineNumbers w:val="0"/>
              <w:suppressAutoHyphens w:val="0"/>
              <w:autoSpaceDE/>
              <w:ind w:left="360"/>
              <w:contextualSpacing/>
              <w:rPr>
                <w:rFonts w:eastAsia="Times New Roman"/>
                <w:color w:val="FF0000"/>
                <w:sz w:val="22"/>
                <w:szCs w:val="22"/>
                <w:lang w:eastAsia="pl-PL"/>
              </w:rPr>
            </w:pPr>
            <w:r w:rsidRPr="00193D09"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 xml:space="preserve">Uwaga: Jeżeli do wykonania  wymienionych rodzajów zabiegów konieczne są inne  lub dodatkowe narzędzia </w:t>
            </w:r>
            <w:proofErr w:type="spellStart"/>
            <w:r w:rsidRPr="00193D09"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>robotyczne</w:t>
            </w:r>
            <w:proofErr w:type="spellEnd"/>
            <w:r w:rsidRPr="00193D09">
              <w:rPr>
                <w:rFonts w:eastAsia="Times New Roman"/>
                <w:color w:val="FF0000"/>
                <w:sz w:val="22"/>
                <w:szCs w:val="22"/>
                <w:lang w:eastAsia="pl-PL"/>
              </w:rPr>
              <w:t xml:space="preserve"> (poza podstawowymi) Wykonawca zobowiązany jest je dostarczyć.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218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5.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Zestaw narzędzi i akcesoriów posiadających certyfikat CE do wykonywania minimum 750  zabiegów (wielorazowe narzędzia chirurgiczne z głowicą przegubową/ artykulacyjną) takich jak:</w:t>
            </w:r>
          </w:p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 optyki 0⁰ lub 30 ⁰</w:t>
            </w:r>
          </w:p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  nożyczki zakrzywione</w:t>
            </w:r>
          </w:p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- 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monopolarne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nożyczki zakrzywione</w:t>
            </w:r>
          </w:p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-  bipolarny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grasper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typu Maryland,</w:t>
            </w:r>
          </w:p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  imadła do nici</w:t>
            </w:r>
          </w:p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- 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grasper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okienkowy</w:t>
            </w:r>
          </w:p>
          <w:p w:rsidR="00390754" w:rsidRPr="00193D09" w:rsidRDefault="00390754" w:rsidP="00EA5FE3">
            <w:pPr>
              <w:tabs>
                <w:tab w:val="left" w:pos="142"/>
              </w:tabs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 xml:space="preserve">Wykonawca dostarczy min. 4 porty dostępowe </w:t>
            </w:r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lastRenderedPageBreak/>
              <w:t xml:space="preserve">kompatybilne z narzędziami </w:t>
            </w:r>
            <w:proofErr w:type="spellStart"/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>robotycznymi</w:t>
            </w:r>
            <w:proofErr w:type="spellEnd"/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 xml:space="preserve">  wraz z </w:t>
            </w:r>
            <w:proofErr w:type="spellStart"/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>obłożeniami</w:t>
            </w:r>
            <w:proofErr w:type="spellEnd"/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 xml:space="preserve"> zabezpieczającymi ramiona robota na każdy zabieg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.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Wykonawca zobowiązuje się do dostawy dedykowanych narzędzi i akcesoriów  najnowszej generacji. Wszystkie dostarczone narzędzia i akcesoria będą posiadały ważny termin przydatności do użytkowania.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6.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suppressAutoHyphens w:val="0"/>
              <w:autoSpaceDE/>
              <w:spacing w:after="160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Robot medyczny pozwalający na wykonywanie operacji chirurgicznych w bardzo trudnych okolicach anatomicznych ludzkiego ciała w sposób niezwykle precyzyjny, posiadający </w:t>
            </w:r>
            <w:proofErr w:type="spellStart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>robotyczne</w:t>
            </w:r>
            <w:proofErr w:type="spellEnd"/>
            <w:r w:rsidRPr="00193D09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Pr="00193D0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narzędzia laparoskopowe naśladujące ruchy nadgarstka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12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7.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z w:val="22"/>
                <w:szCs w:val="22"/>
                <w:lang w:eastAsia="pl-PL"/>
              </w:rPr>
              <w:t>Robot wyposażony w system wizyjny 3D umożliwiający oglądanie wnętrza ciała pacjenta w powiększeniu w obrazie trójwymiarowym.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8.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Łatwa mobilność i możliwość przestawiania ramion podczas zabiegu operacyjnego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9.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Arial Unicode MS"/>
                <w:sz w:val="22"/>
                <w:szCs w:val="22"/>
                <w:u w:val="single"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Robot medyczny, którego każdy z elementów   w miejscu instalacji nie przekroczy obciążenia  300 kg/m².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10.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Właściwa dezynfekcja  i sterylizacja dostarczanych narzędzi w posiadanych przez Zamawiającego sterylizatorach na cztery jednostki wsadowe i myjnio- dezynfektorach.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Zamawiający jest w posiadaniu następujących urządzeń: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- Sterylizator parowy  Century  V120 f-my </w:t>
            </w:r>
            <w:proofErr w:type="spellStart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Steris</w:t>
            </w:r>
            <w:proofErr w:type="spellEnd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 LDT USA   rok produkcji 2007/2008 2szt.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- Myjnia dezynfektor KEN 2314 f-my </w:t>
            </w:r>
            <w:proofErr w:type="spellStart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Ken</w:t>
            </w:r>
            <w:proofErr w:type="spellEnd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 Dania; rok produkcji  2008r.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- Sterylizator gazowy </w:t>
            </w:r>
            <w:proofErr w:type="spellStart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Eagle</w:t>
            </w:r>
            <w:proofErr w:type="spellEnd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 3017 f-my </w:t>
            </w:r>
            <w:proofErr w:type="spellStart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Steris</w:t>
            </w:r>
            <w:proofErr w:type="spellEnd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 L  DT USA ; rok produkcji 2008 (sterylizator do sterylizacji </w:t>
            </w:r>
            <w:proofErr w:type="spellStart"/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niskotemparaturowej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22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B62024" w:rsidRDefault="00390754" w:rsidP="00B62024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113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Times New Roman"/>
                <w:spacing w:val="-7"/>
                <w:sz w:val="22"/>
                <w:szCs w:val="22"/>
                <w:u w:color="000000"/>
                <w:bdr w:val="nil"/>
                <w:lang w:eastAsia="pl-PL"/>
              </w:rPr>
              <w:t xml:space="preserve">Możliwość właściwej dezynfekcji i sterylizacji dostarczanych narzędzi i akcesoriów w oparciu o środki zalecane przez producenta 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pod warunkiem, że producent posiadanych przez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Zamawiąjącego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myjno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-dezynfektorów i sterylizatorów dopuszcza stosowanie zalecanych przez Wykonawcę preparatów. W celu potwierdzenia Wykonawca dostarczy stosowne oświadczenie spełniające te wymagania</w:t>
            </w:r>
            <w:r w:rsidRPr="00193D09">
              <w:rPr>
                <w:rFonts w:eastAsia="Arial Unicode MS"/>
                <w:color w:val="000000"/>
                <w:sz w:val="22"/>
                <w:szCs w:val="22"/>
                <w:highlight w:val="red"/>
                <w:u w:color="000000"/>
                <w:bdr w:val="nil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lastRenderedPageBreak/>
              <w:t>12.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Mobilna konsola operatora zapewniająca komunikację z zespołem operacyjnym, wyposażona w hamulce oraz uchwyty do prowadzenia oraz  umożliwiająca: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 sterowanie ramionami wyposażonymi w narzędzia;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 przeniesienie ruchu rąk operatora na ruchy poszczególnych ramion i narzędzi;</w:t>
            </w:r>
          </w:p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 skalowanie ruchu narzędzi oraz redukcję drgań w celu zminimalizowania naturalnego drżenia rąk i przypadkowych ruchów rąk.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13.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Min. 4 zrobotyzowane ramiona.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14.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Przegubowe narzędzia, które wraz z ruchami ramion </w:t>
            </w:r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>odzwierciedlają  ruchy nadgarstka  operatora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15.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Możliwość wykorzystania optyki 0 lub 30 stopni.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16.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Możliwość obrazowania 3D na monitorze z pozycji operatora.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17.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Sterowanie kamerą endoskopową 3D oraz narzędziami.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18.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Konieczność podłączenia obrazu </w:t>
            </w:r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 xml:space="preserve">2D na dwóch dodatkowych 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monitorach na Sali operacyjnej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19.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Manetki umożliwiające kontrolę narzędzi i kamery.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20.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Manetki sterujące odzwierciedlające faktyczne ruchy rąk Operatora (tzn. ruch ręki Operatora w prawo powoduje ruch narzędzia w prawo, a ruch ręki Operatora w lewo powoduje ruch narzędzia w lewo), umożliwiające chirurgowi sterowanie narzędziami oraz kamerą endoskopową wewnątrz ciała pacjenta.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Obraz pola chirurgicznego w polu widzenia chirurga 3D.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22.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System wizyjny 3D </w:t>
            </w:r>
            <w:r w:rsidRPr="00193D09">
              <w:rPr>
                <w:rFonts w:eastAsia="Arial Unicode MS"/>
                <w:color w:val="FF0000"/>
                <w:sz w:val="22"/>
                <w:szCs w:val="22"/>
                <w:u w:color="000000"/>
                <w:bdr w:val="nil"/>
                <w:lang w:eastAsia="pl-PL"/>
              </w:rPr>
              <w:t>min.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HD.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u w:val="single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23.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System wyposażony w źródło światła.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24.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Źródło światła, głowica kamery 3D, układ sterowania kamery.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25.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Automatyczna regulacja ostrości optyki endoskopu.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62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lastRenderedPageBreak/>
              <w:t>26.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Mobilny Monitor o przekątnej  min.26 cali.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Tak/podać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27.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Monitor naścienny o przekątnej min. 65 cali.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Tak/podać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5268E0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28.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B620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b/>
                <w:sz w:val="22"/>
                <w:szCs w:val="22"/>
                <w:u w:color="000000"/>
                <w:bdr w:val="nil"/>
                <w:lang w:eastAsia="pl-PL"/>
              </w:rPr>
              <w:t>Elementy dodatkowe: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29.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FFC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Symulator treningowy służący do nauki i do oceny sprawności manualnej operatora zapewniający naukę w zakresie wszelkich ruchów narzędzi, ramion oraz endoskopu poprzez dedykowane moduły treningowe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Tak, podać zakres funkcjonalności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30.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Nauka w zakresie min. posługiwania się manetkami, szycia, wiązania, posługiwania się narzędziami mono-i-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bi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-polarnymi.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Tak/Podać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31.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Pełna funkcjonalność symulatora wraz z licencją oprogramowania zapewniona przez</w:t>
            </w:r>
            <w:r w:rsidR="00E24F11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cały okres użytkowania systemu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robotycznego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Tak/podać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5268E0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</w:pPr>
            <w:r w:rsidRPr="00193D09">
              <w:rPr>
                <w:rFonts w:eastAsia="Calibri"/>
                <w:color w:val="000000"/>
                <w:sz w:val="22"/>
                <w:szCs w:val="22"/>
                <w:u w:color="000000"/>
                <w:bdr w:val="nil"/>
                <w:shd w:val="clear" w:color="auto" w:fill="FEFFFE"/>
                <w:lang w:eastAsia="pl-PL"/>
              </w:rPr>
              <w:t>32.</w:t>
            </w: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D679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b/>
                <w:sz w:val="22"/>
                <w:szCs w:val="22"/>
                <w:bdr w:val="nil"/>
              </w:rPr>
              <w:t>Szkolenie Personelu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33.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Wykonawca zobowiązuje się przeprowadzić w cenie oferty bezpłatne szkolenie podstawowe, w zakresie obsługi i eksploatacji dostarczonego  robota medycznego.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Szkolenie  podstawowe z obsługi odbędzie się w miejscu instalacji w wymiarze min. 3 dni roboczych. Szkolenie po odbiorze sprzętu  w terminie wskazanym przez Zamawiającego.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34.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pacing w:val="-7"/>
                <w:sz w:val="22"/>
                <w:szCs w:val="22"/>
                <w:u w:color="000000"/>
                <w:bdr w:val="nil"/>
                <w:lang w:eastAsia="pl-PL"/>
              </w:rPr>
              <w:t>Wykonawca zobowiązuje się przeprowadzić w cenie oferty bezpłatne szkolenie specjalistyczne  personelu medycznego, w zakresie obsługi i eksploatacji dostarczonego robota medycznego</w:t>
            </w: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. Szkolenie rozszerzone dla personelu medycznego z zakresu obsługi urządzenia w nielimitowanym zakresie (minimum 5 zespołów operacyjnych z możliwością podziału i szkolenia w mniejszych grupach). W razie potrzeby  Zamawiającego możliwość regularnego wsparcia aplikacyjnego w czasie gwarancji . Szkolenie odbędzie się po odbiorze sprzętu w terminie wskazanym przez Zamawiającego. Potwierdzeniem wykonania  szkolenia będą certyfikaty upoważniające do obsługi systemu chirurgii </w:t>
            </w:r>
            <w:proofErr w:type="spellStart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robotycznej</w:t>
            </w:r>
            <w:proofErr w:type="spellEnd"/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przy przeprowadzaniu zabiegów medycznych. W trakcie trwania gwarancji certyfikowanie personelu medycznego po stronie Wykonawcy.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A02924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A02924">
              <w:rPr>
                <w:rFonts w:eastAsia="Arial Unicode MS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35.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Asysta techniczna do minimum 200 pierwszych zabiegów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5268E0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36.</w:t>
            </w:r>
          </w:p>
        </w:tc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D679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b/>
                <w:sz w:val="22"/>
                <w:szCs w:val="22"/>
                <w:bdr w:val="nil"/>
              </w:rPr>
              <w:t>Inne wymagania :</w:t>
            </w: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37.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Możliwość zgłoszenia awarii telefonicznie i email 24h/dobę w okresie trwania gwarancji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38.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Możliwość mycia i dezynfekcji poszczególnych elementów aparatów w oparciu o przedstawione przez Wykonawcę zalecane preparaty myjące i dezynfekujące.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4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39.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6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6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Wykonawca w ramach dostawy sprzętu zobowiązuje się dostarczyć komplet akcesoriów, okablowania itp. asortymentu niezbędnego do uruchomienia aparatu jako całości w wymaganej specyfikacją konfiguracji.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Tak, dostarczyć podczas odbioru sprzętu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70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1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40.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1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Instrukcja konserwacji, mycia dezynfekcji i sterylizacji dla zaoferowanych elementów wraz z urządzeniami peryferyjnymi (jeśli dotyczy), dostarczona przy dostawie i wskazująca, że czynności te prawidłowo wykonane nie powodują utraty gwarancji (w wersji papierowej i elektronicznej).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Tak, dostarczyć podczas odbioru sprzętu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53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1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1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81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Bezpłatne przeglądy techniczne w czasie trwania gwarancji.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right="-220"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Tak, podać częstotliwość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sz w:val="22"/>
                <w:szCs w:val="22"/>
                <w:bdr w:val="ni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76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42.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Dostarczenie podczas odbioru oświadczenia potwierdzające, że pracownicy serwisu oferowanego urządzenia posiadają odpowiednie kwalifikacje i uprawnienia wydane przez producenta w zakresie obsługi serwisowej przedmiotu umowy. Wykonawca w czasie całego okresu trwania gwarancji zobowiązuje się zapewnić usługi serwisowe świadczone przez osoby posiadające odpowiednie kwalifikacje i uprawnienia wydane przez producenta w zakresie obsługi dostarczonego urządzenia.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Tak, dostarczyć podczas odbioru sprzętu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76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43.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Oświadczenie, że oferowane urządzenie jest kompletne i będzie po zainstalowaniu gotowe do pracy bez żadnych dodatkowych zakupów i inwestycji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Tak, dostarczyć podczas odbioru sprzętu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390754" w:rsidRPr="00193D09" w:rsidTr="005268E0">
        <w:trPr>
          <w:gridAfter w:val="1"/>
          <w:wAfter w:w="18" w:type="dxa"/>
          <w:trHeight w:val="76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44.</w:t>
            </w:r>
          </w:p>
        </w:tc>
        <w:tc>
          <w:tcPr>
            <w:tcW w:w="9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D679F2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Dodatkowe informacje o oferowanym sprzęcie:</w:t>
            </w:r>
          </w:p>
        </w:tc>
      </w:tr>
      <w:tr w:rsidR="00390754" w:rsidRPr="00193D09" w:rsidTr="006E2BD6">
        <w:trPr>
          <w:gridAfter w:val="1"/>
          <w:wAfter w:w="18" w:type="dxa"/>
          <w:trHeight w:val="76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45.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ind w:right="106"/>
              <w:rPr>
                <w:rFonts w:eastAsia="Arial Unicode MS"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sz w:val="22"/>
                <w:szCs w:val="22"/>
                <w:bdr w:val="nil"/>
              </w:rPr>
              <w:t>Producent: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76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46.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ind w:right="106"/>
              <w:rPr>
                <w:rFonts w:eastAsia="Arial Unicode MS"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sz w:val="22"/>
                <w:szCs w:val="22"/>
                <w:bdr w:val="nil"/>
              </w:rPr>
              <w:t>Model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  <w:tr w:rsidR="00390754" w:rsidRPr="00193D09" w:rsidTr="006E2BD6">
        <w:trPr>
          <w:gridAfter w:val="1"/>
          <w:wAfter w:w="18" w:type="dxa"/>
          <w:trHeight w:val="76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754" w:rsidRPr="00193D09" w:rsidRDefault="00390754" w:rsidP="00EA5FE3">
            <w:pPr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62"/>
              <w:jc w:val="center"/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Arial Unicode MS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47.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ind w:right="106"/>
              <w:rPr>
                <w:rFonts w:eastAsia="Arial Unicode MS"/>
                <w:sz w:val="22"/>
                <w:szCs w:val="22"/>
                <w:bdr w:val="nil"/>
              </w:rPr>
            </w:pPr>
            <w:r w:rsidRPr="00193D09">
              <w:rPr>
                <w:rFonts w:eastAsia="Arial Unicode MS"/>
                <w:sz w:val="22"/>
                <w:szCs w:val="22"/>
                <w:bdr w:val="nil"/>
              </w:rPr>
              <w:t>Nazwa katalogowa*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  <w:r w:rsidRPr="00193D09">
              <w:rPr>
                <w:rFonts w:eastAsia="Calibri"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  <w:t>Podać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754" w:rsidRPr="00193D09" w:rsidRDefault="00390754" w:rsidP="00EA5FE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0754" w:rsidRPr="00193D09" w:rsidRDefault="00390754" w:rsidP="00390754">
            <w:pPr>
              <w:widowControl/>
              <w:suppressLineNumbers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jc w:val="center"/>
              <w:rPr>
                <w:rFonts w:eastAsia="Arial Unicode MS"/>
                <w:b/>
                <w:bCs/>
                <w:color w:val="000000"/>
                <w:kern w:val="1"/>
                <w:sz w:val="22"/>
                <w:szCs w:val="22"/>
                <w:u w:color="000000"/>
                <w:bdr w:val="nil"/>
                <w:lang w:eastAsia="pl-PL"/>
              </w:rPr>
            </w:pPr>
          </w:p>
        </w:tc>
      </w:tr>
    </w:tbl>
    <w:p w:rsidR="00390754" w:rsidRPr="00193D09" w:rsidRDefault="00390754" w:rsidP="00390754">
      <w:pPr>
        <w:tabs>
          <w:tab w:val="left" w:pos="142"/>
        </w:tabs>
        <w:jc w:val="both"/>
        <w:rPr>
          <w:b/>
          <w:color w:val="000000"/>
          <w:spacing w:val="-7"/>
          <w:sz w:val="22"/>
          <w:szCs w:val="22"/>
        </w:rPr>
      </w:pPr>
    </w:p>
    <w:p w:rsidR="00390754" w:rsidRPr="00193D09" w:rsidRDefault="00390754" w:rsidP="00390754">
      <w:pPr>
        <w:tabs>
          <w:tab w:val="left" w:pos="142"/>
        </w:tabs>
        <w:jc w:val="both"/>
        <w:rPr>
          <w:b/>
          <w:color w:val="000000"/>
          <w:spacing w:val="-7"/>
          <w:sz w:val="22"/>
          <w:szCs w:val="22"/>
        </w:rPr>
      </w:pPr>
      <w:r w:rsidRPr="00193D09">
        <w:rPr>
          <w:b/>
          <w:color w:val="000000"/>
          <w:spacing w:val="-7"/>
          <w:sz w:val="22"/>
          <w:szCs w:val="22"/>
        </w:rPr>
        <w:t>Uwagi:</w:t>
      </w:r>
    </w:p>
    <w:p w:rsidR="00390754" w:rsidRPr="00193D09" w:rsidRDefault="00390754" w:rsidP="00390754">
      <w:pPr>
        <w:numPr>
          <w:ilvl w:val="0"/>
          <w:numId w:val="1"/>
        </w:numPr>
        <w:tabs>
          <w:tab w:val="left" w:pos="142"/>
        </w:tabs>
        <w:jc w:val="both"/>
        <w:rPr>
          <w:b/>
          <w:color w:val="000000"/>
          <w:spacing w:val="-7"/>
          <w:sz w:val="22"/>
          <w:szCs w:val="22"/>
        </w:rPr>
      </w:pPr>
      <w:r w:rsidRPr="00193D09">
        <w:rPr>
          <w:b/>
          <w:color w:val="000000"/>
          <w:spacing w:val="-7"/>
          <w:sz w:val="22"/>
          <w:szCs w:val="22"/>
        </w:rPr>
        <w:t>Do oferty należy dołączyć firmowe materiały potwierdzające parametry techniczne aparatury.</w:t>
      </w:r>
    </w:p>
    <w:p w:rsidR="00390754" w:rsidRPr="00193D09" w:rsidRDefault="00390754" w:rsidP="00390754">
      <w:pPr>
        <w:numPr>
          <w:ilvl w:val="0"/>
          <w:numId w:val="1"/>
        </w:numPr>
        <w:tabs>
          <w:tab w:val="left" w:pos="142"/>
        </w:tabs>
        <w:jc w:val="both"/>
        <w:rPr>
          <w:b/>
          <w:color w:val="000000"/>
          <w:spacing w:val="-7"/>
          <w:sz w:val="22"/>
          <w:szCs w:val="22"/>
        </w:rPr>
      </w:pPr>
      <w:r w:rsidRPr="00193D09">
        <w:rPr>
          <w:b/>
          <w:color w:val="000000"/>
          <w:spacing w:val="-7"/>
          <w:sz w:val="22"/>
          <w:szCs w:val="22"/>
        </w:rPr>
        <w:t>Niespełnienie jednego i więcej z wymaganych powyżej parametrów oraz wymagań co do ich wartości minimalnych spowoduje odrzucenie oferty bez dalszej oceny.</w:t>
      </w:r>
    </w:p>
    <w:sectPr w:rsidR="00390754" w:rsidRPr="00193D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69" w:rsidRDefault="00C56B69" w:rsidP="00C56B69">
      <w:r>
        <w:separator/>
      </w:r>
    </w:p>
  </w:endnote>
  <w:endnote w:type="continuationSeparator" w:id="0">
    <w:p w:rsidR="00C56B69" w:rsidRDefault="00C56B69" w:rsidP="00C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69" w:rsidRDefault="00C56B69" w:rsidP="00C56B69">
      <w:r>
        <w:separator/>
      </w:r>
    </w:p>
  </w:footnote>
  <w:footnote w:type="continuationSeparator" w:id="0">
    <w:p w:rsidR="00C56B69" w:rsidRDefault="00C56B69" w:rsidP="00C5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69" w:rsidRDefault="00193D09" w:rsidP="00193D09">
    <w:pPr>
      <w:pStyle w:val="Nagwek"/>
    </w:pPr>
    <w:r w:rsidRPr="00193D09">
      <w:rPr>
        <w:b/>
        <w:color w:val="000000"/>
        <w:spacing w:val="-7"/>
        <w:sz w:val="22"/>
        <w:szCs w:val="22"/>
      </w:rPr>
      <w:t>Załącznik nr 2 do SWZ – Specyfikacja dostarczonego asortymentu</w:t>
    </w:r>
    <w:r>
      <w:t xml:space="preserve"> </w:t>
    </w:r>
    <w:r>
      <w:tab/>
    </w:r>
    <w:r w:rsidR="00C56B69" w:rsidRPr="00193D09">
      <w:rPr>
        <w:b/>
        <w:bCs/>
      </w:rPr>
      <w:t>DZ/32/2021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3482"/>
    <w:multiLevelType w:val="hybridMultilevel"/>
    <w:tmpl w:val="4738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60ECC"/>
    <w:multiLevelType w:val="hybridMultilevel"/>
    <w:tmpl w:val="225EEF2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622BED"/>
    <w:multiLevelType w:val="hybridMultilevel"/>
    <w:tmpl w:val="1B329562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541465B"/>
    <w:multiLevelType w:val="hybridMultilevel"/>
    <w:tmpl w:val="EE4E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95"/>
    <w:rsid w:val="000C7101"/>
    <w:rsid w:val="001414E9"/>
    <w:rsid w:val="00165308"/>
    <w:rsid w:val="00193D09"/>
    <w:rsid w:val="00312181"/>
    <w:rsid w:val="003128C7"/>
    <w:rsid w:val="00390754"/>
    <w:rsid w:val="00525D34"/>
    <w:rsid w:val="005268E0"/>
    <w:rsid w:val="006E2BD6"/>
    <w:rsid w:val="007E00B1"/>
    <w:rsid w:val="00872E95"/>
    <w:rsid w:val="008E481E"/>
    <w:rsid w:val="008F2C10"/>
    <w:rsid w:val="009623F0"/>
    <w:rsid w:val="00A02924"/>
    <w:rsid w:val="00B62024"/>
    <w:rsid w:val="00BA5690"/>
    <w:rsid w:val="00C56B69"/>
    <w:rsid w:val="00D679F2"/>
    <w:rsid w:val="00E24F11"/>
    <w:rsid w:val="00EA5FE3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A76D"/>
  <w15:chartTrackingRefBased/>
  <w15:docId w15:val="{2C41C76A-6A12-4BA6-B5AB-E245EF3C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E95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B6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56B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B6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18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1683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19</cp:revision>
  <cp:lastPrinted>2021-09-02T11:53:00Z</cp:lastPrinted>
  <dcterms:created xsi:type="dcterms:W3CDTF">2021-08-30T11:06:00Z</dcterms:created>
  <dcterms:modified xsi:type="dcterms:W3CDTF">2021-09-02T11:56:00Z</dcterms:modified>
</cp:coreProperties>
</file>