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4C" w:rsidRPr="00340DA9" w:rsidRDefault="004D1B4C" w:rsidP="004D1B4C">
      <w:pPr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bookmarkStart w:id="0" w:name="_Toc508313783"/>
      <w:bookmarkStart w:id="1" w:name="_Toc909594"/>
      <w:r w:rsidRPr="00340DA9">
        <w:rPr>
          <w:rFonts w:asciiTheme="minorHAnsi" w:hAnsiTheme="minorHAnsi" w:cstheme="minorHAnsi"/>
          <w:b/>
          <w:sz w:val="28"/>
          <w:szCs w:val="22"/>
          <w:u w:val="single"/>
        </w:rPr>
        <w:t>Opis Przedmiotu Zamówienia</w:t>
      </w:r>
      <w:bookmarkEnd w:id="0"/>
      <w:bookmarkEnd w:id="1"/>
    </w:p>
    <w:p w:rsidR="004D1B4C" w:rsidRPr="00340DA9" w:rsidRDefault="004D1B4C" w:rsidP="00874EF7">
      <w:pPr>
        <w:pStyle w:val="Nagwek2"/>
        <w:numPr>
          <w:ilvl w:val="0"/>
          <w:numId w:val="1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40DA9">
        <w:rPr>
          <w:rFonts w:asciiTheme="minorHAnsi" w:hAnsiTheme="minorHAnsi" w:cstheme="minorHAnsi"/>
          <w:sz w:val="22"/>
          <w:szCs w:val="22"/>
        </w:rPr>
        <w:t xml:space="preserve">Zestaw komputerowy typu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-in-One wraz z oprogramowaniem biurowym oraz zasilaczem UPS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.</w:t>
      </w:r>
      <w:r w:rsidRPr="00340DA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057"/>
        <w:gridCol w:w="6089"/>
        <w:gridCol w:w="1701"/>
      </w:tblGrid>
      <w:tr w:rsidR="004D1B4C" w:rsidRPr="00340DA9" w:rsidTr="00E5088C">
        <w:tc>
          <w:tcPr>
            <w:tcW w:w="643" w:type="dxa"/>
            <w:vAlign w:val="center"/>
          </w:tcPr>
          <w:p w:rsidR="004D1B4C" w:rsidRPr="00340DA9" w:rsidRDefault="004D1B4C" w:rsidP="00E50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57" w:type="dxa"/>
            <w:vAlign w:val="center"/>
          </w:tcPr>
          <w:p w:rsidR="004D1B4C" w:rsidRPr="00340DA9" w:rsidRDefault="004D1B4C" w:rsidP="00E50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Nazwa rodzajowa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Parametr wymagany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Potwierdzenie spełnienia wymaganego parametru</w:t>
            </w:r>
          </w:p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(TAK/NIE)</w:t>
            </w:r>
          </w:p>
        </w:tc>
      </w:tr>
      <w:tr w:rsidR="004D1B4C" w:rsidRPr="00340DA9" w:rsidTr="00A576B5">
        <w:trPr>
          <w:trHeight w:val="253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Zintegrowana w jednej obudowie z PC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Typ ekranu: 23.8”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Jasność: min. 250 cd/m2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Kontrast: min. 1000:1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Kąty widzenia (pion/poziom): min. 178°/178°</w:t>
            </w:r>
          </w:p>
          <w:p w:rsidR="00950937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Czas reakcji matrycy: maks. 14 ms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Obsługiwana rozdzielczość: min. 1920 x 1080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Powłoka powierzchni ekranu: Przeciwodblaskowa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Zakres pochylenia monitora: w nie mniejszy niż 0°-20°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576B5">
        <w:trPr>
          <w:trHeight w:val="1675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Procesor klasy x86 ze zintegrowaną grafiką,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-rdzeniowy, zaprojektowany do pracy w komputerach stacjonarnych,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aktowany zegarem co najmniej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GHz, pamięcią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cache CPU co najmniej </w:t>
            </w:r>
            <w:r w:rsidR="00C56C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MB lub równoważny, 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osiągający w teście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PassMark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CPU Mark min.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10100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Pkt według wyników testu z dnia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20.10.2021r.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991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RAM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Pamięć operacyjna: 16GB DDR4 2</w:t>
            </w:r>
            <w:r w:rsidR="00570B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MHz możliwość rozbudowy do min 32 GB.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Jeden slot wolny.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6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masowa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dysk SSD o pojemności min. 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56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Zintegrowana karta graficzna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karta graficzna wykorzystująca pamięć RAM systemu dynamicznie przydzielaną na potrzeby grafiki w trybie UMA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Unified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Memory Access) – z możliwością dynamicznego przydzielenia do 1,5 GB pamięci. Obsługująca funkcje: DirectX 12,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OpenGL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4.4,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OpenCL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2.0, HLSL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shader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5.1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38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Napęd optyczny</w:t>
            </w:r>
          </w:p>
        </w:tc>
        <w:tc>
          <w:tcPr>
            <w:tcW w:w="6089" w:type="dxa"/>
            <w:vAlign w:val="center"/>
          </w:tcPr>
          <w:p w:rsidR="00194141" w:rsidRPr="00194141" w:rsidRDefault="00194141" w:rsidP="00A576B5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Nagrywarka DVD +/-RW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slim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7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Sieć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Karta sieciowa 10/100/1000 Ethernet RJ 45, zintegrowana z płytą główną, wspierająca obsługę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(funkcja włączana przez użytkownika)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obsługująca łącznie standardy IEEE 802.11ac (2x2) + BT.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0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Bezpieczeństwo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Złącze typu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Kensington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Lock lub równoważne.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Co najmniej TPM 2.0.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54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Wyposażenie multimedialne: Karta dźwiękowa zintegrowana z płytą główną, zgodna z High Definition audio. Głośniki stereo wysokiej jakości. Porty słuchawek i mikrofonu wymagane zarówno na przednim, jak i na tylnym panelu obudowy. Kamera FHD.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11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Zasilanie</w:t>
            </w:r>
          </w:p>
        </w:tc>
        <w:tc>
          <w:tcPr>
            <w:tcW w:w="6089" w:type="dxa"/>
            <w:vAlign w:val="center"/>
          </w:tcPr>
          <w:p w:rsidR="004D1B4C" w:rsidRPr="00340DA9" w:rsidRDefault="00BE31D3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Zasilacz o mocy minimum 150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pracujący w sieci 230V 50/60Hz prądu zmiennego i efektywności min. 93%,  przy obciążeniu 50%.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976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Wymiary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 wymiarów obudowy (wysokość + szerokość + głębokość mierzona po krawędziach zewnętrznych bez stopy monitora) nie może wynosić więcej niż 1030mm.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2819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Obudowa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z monitorem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AiO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), wyposażona w min. 1 szt.</w:t>
            </w:r>
            <w:r w:rsidR="00570B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wnękę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2,5” wewnętrzne.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musi umożliwiać zastosowanie zabezpieczenia fizycznego w postaci linki metalowej oraz kłódki (oczko w obudowie do założenia kłódki).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zainstalowania komputera na ścianie przy wykorzystaniu ściennego systemu montażowego VESA z możliwością demontażu stopy. Stopa dostarczona w zestawie.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trwale oznaczona logiem producenta.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Wbudowany czujnik otwarcia obudowy.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7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Certyfikaty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Zgodność CE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RoHS</w:t>
            </w:r>
            <w:proofErr w:type="spellEnd"/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EPAEAT Gold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Energy Star 7.0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452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BIOS</w:t>
            </w:r>
            <w:bookmarkStart w:id="2" w:name="_GoBack"/>
            <w:bookmarkEnd w:id="2"/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komputera;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płyty głównej;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nr seryjnego komputera;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wersji BIOS (z datą);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procesora wraz z informacjami o prędkości taktowania;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ilości i obsadzeniu slotów pamięci RAM wraz z informacją o prędkości taktowania;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dysku twardym: model oraz pojemność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MAC adresie zintegrowanej karty sieciowej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układu graficznego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procesora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wewnątrz obudowy komputera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statusu karty sieciowej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845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Dodatkowe oprogramowanie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Certyfikowane oprogramowanie umożliwiające w bezpieczny (bezpowrotny) sposób usunięcie danych z dysku twardego.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84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Licencja na system operacyjny Microsoft Windows 10 Professional 64-bit PL, zainstalowany system operacyjny Windows 10 Professional 64-bit PL niewymagający aktywacji za pomocą telefonu lub Internetu w firmie Microsoft.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Dołączona płyta DVD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umożliwiająca instalacje systemu w wersji 64 bitowej Windows 10.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576B5"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Oprogramowanie biurowe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Preinstalowane oprogramowanie z licencją pakietu biurowego spełniające następujące wymagania techniczne: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Wymagania odnośnie interfejsu użytkownika: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pełna polska wersja językowa interfejsu użytkownika,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prostota i intuicyjność obsługi, pozwalająca na pracę osobom nieposiadającym umiejętności technicznych;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Oprogramowanie musi umożliwiać tworzenie i edycję dokumentów elektronicznych w ustalonym formacie, który spełnia następujące warunki: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posiada kompletny i publicznie dostępny opis formatu,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umożliwiać dostosowanie dokumentów i szablonów do potrzeb instytucji;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być w najnowszej wersji na dzień opublikowania postępowania przetargowego.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 skład oprogramowania muszą wchodzić narzędzia programistyczne umożliwiające automatyzację pracy i wymianę danych pomiędzy dokumentami i aplikacjami (język makropoleceń, język skryptowy);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Do aplikacji musi być dostępna pełna dokumentacja w języku polskim;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Pakiet zintegrowanych aplikacji biurowych musi zawierać: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edytor tekstów,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arkusz kalkulacyjny,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Edytor tekstów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tabel,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obiektów graficznych,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wykresów i tabel z arkusza kalkulacyjnego (wliczając tabele przestawne),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numerowanie rozdziałów, punktów, akapitów, tabel i rysunków,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tworzenie spisów treści,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formatowanie nagłówków i stopek stron,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śledzenie i porównywanie zmian wprowadzonych przez użytkowników w dokumencie,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określenie układu strony (pionowa/pozioma),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wydruk dokumentów,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wykonywanie korespondencji seryjnej bazując na danych adresowych pochodzących z arkusza kalkulacyjnego i z narzędzia do zarządzania informacją prywatną,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pracę na dokumentach utworzonych przy pomocy posiadanego przez Zamawiającego oprogramowania Microsoft Word 2003 lub Microsoft Word 2007, 2010 , 2013, 2016, 2019 z zapewnieniem bezproblemowej konwersji wszystkich elementów i atrybutów dokumentu,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Arkusz kalkulacyjny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tabelarycznych,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wykresów liniowych (wraz linią trendu), słupkowych, kołowych,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40DA9">
              <w:rPr>
                <w:rFonts w:cstheme="minorHAnsi"/>
                <w:sz w:val="22"/>
              </w:rPr>
              <w:t>WebService</w:t>
            </w:r>
            <w:proofErr w:type="spellEnd"/>
            <w:r w:rsidRPr="00340DA9">
              <w:rPr>
                <w:rFonts w:cstheme="minorHAnsi"/>
                <w:sz w:val="22"/>
              </w:rPr>
              <w:t xml:space="preserve">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tabeli przestawnych umożliwiających dynamiczną zmianę wymiarów oraz wykresów bazujących na danych z tabeli przestawnych,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wyszukiwanie i zamianę danych,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wykonywanie analiz danych przy użyciu formatowania warunkowego,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nazywanie komórek arkusza i odwoływanie się w formułach po takiej nazwie,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formatowanie czasu, daty i wartości finansowych z polskim formatem,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 wielu arkuszy kalkulacyjnych w jednym pliku,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zachowanie pełnej zgodności z formatami plików utworzonych za pomocą posiadanego przez Zamawiającego oprogramowania Microsoft Excel 2003 oraz Microsoft Excel 2007, 2010</w:t>
            </w:r>
            <w:r w:rsidR="00194141">
              <w:rPr>
                <w:rFonts w:cstheme="minorHAnsi"/>
                <w:sz w:val="22"/>
              </w:rPr>
              <w:t xml:space="preserve">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, z uwzględnieniem poprawnej realizacji użytych w nich funkcji specjalnych i makropoleceń,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przygotowywanie prezentacji multimedialnych,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prezentowanie przy użyciu projektora multimedialnego,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drukowanie w formacie umożliwiającym robienie notatek,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zapisanie jako prezentacja tylko do odczytu,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nagrywanie narracji i dołączanie jej do prezentacji,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opatrywanie slajdów notatkami dla prezentera,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umieszczanie i formatowanie tekstów, obiektów graficznych, tabel, nagrań dźwiękowych i wideo,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umieszczanie tabel i wykresów pochodzących z arkusza kalkulacyjnego,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odświeżenie wykresu znajdującego się w prezentacji po zmianie danych w źródłowym arkuszu kalkulacyjnym, możliwość  tworzenia animacji obiektów i całych slajdów,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pełna zgodność z formatami plików utworzonych za pomocą posiadanego przez Zamawiającego oprogramowania MS PowerPoint</w:t>
            </w:r>
            <w:r w:rsidR="00194141">
              <w:rPr>
                <w:rFonts w:cstheme="minorHAnsi"/>
                <w:sz w:val="22"/>
              </w:rPr>
              <w:t xml:space="preserve"> 2003, MS PowerPoint 2007, 2010,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pobieranie i wysyłanie poczty elektronicznej z serwera pocztowego,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przechowywanie wiadomości na serwerze lub w lokalnym pliku tworzonym z zastosowaniem efektywnej kompresji danych,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filtrowanie niechcianej poczty elektronicznej (SPAM) oraz określanie listy zablokowanych i bezpiecznych nadawców,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katalogów, pozwalających katalogować pocztę elektroniczną,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grupowanie poczty o tym samym tytule,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oflagowanie poczty elektronicznej z określeniem terminu przypomnienia, oddzielnie dla nadawcy i adresatów,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mechanizm ustalania liczby wiadomości, które mają być synchronizowane lokalnie,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kalendarzem,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udostępnianie kalendarza innym użytkownikom z możliwością określania uprawnień użytkowników,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przeglądanie kalendarza innych użytkowników,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zapraszanie uczestników na spotkanie, co po ich akceptacji powoduje automatyczne wprowadzenie spotkania w ich kalendarzach,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zadań,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zlecanie zadań innym użytkownikom,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kontaktów, p) udostępnianie listy kontaktów innym użytkownikom,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przeglądanie listy kontaktów innych użytkowników,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możliwość przesyłania kontaktów innym użytkowników.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Wymagania dotyczące licencji: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musi pochodzić z legalnego źródła (producent, oficjalny dystrybutor),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nowy produkt, nigdy wcześniej nie aktywowany,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zarejestrowania na koncie utworzonym przez zamawiającego,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pobrania plików instalacyjnych ze strony producenta,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sprawdzenia licencji na stronie producenta,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576B5">
        <w:trPr>
          <w:trHeight w:val="4677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Porty i złącza</w:t>
            </w:r>
          </w:p>
        </w:tc>
        <w:tc>
          <w:tcPr>
            <w:tcW w:w="6089" w:type="dxa"/>
            <w:vAlign w:val="center"/>
          </w:tcPr>
          <w:p w:rsidR="00E76B78" w:rsidRDefault="00E76B78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In</w:t>
            </w:r>
          </w:p>
          <w:p w:rsidR="004D1B4C" w:rsidRPr="00E76B78" w:rsidRDefault="00E76B78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Out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- 1 x Audio: mikrofon</w:t>
            </w:r>
            <w:r w:rsidR="00B06169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/słuchawki</w:t>
            </w:r>
            <w:r w:rsidR="00950937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wewnętrzny mikrofon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wbudowana kamera FHD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RJ45 (karta sieciowa)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 USB w tym: minimum 3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porty z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boku obudowy (w tym min. 1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USB 3.0), minimum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porty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tyłu obudowy (w tym min. 2 x USB 3.0. Wymagana ilość i rozmieszczenie (na zewnątrz obudowy komputera) portów USB nie może być osiągnięta w wyniku stosowania konwerterów, przejściówek itp.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główna: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minimum dwa złącza DIMM z obsługą do 32 GB DDR4 pamięci RAM,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min. 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złącz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SATA 3.0 (6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Gbit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NCQ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co najmniej jedno złącze M.2-2280 (SSD </w:t>
            </w:r>
            <w:proofErr w:type="spellStart"/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NVMe</w:t>
            </w:r>
            <w:proofErr w:type="spellEnd"/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), 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03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Klawiatura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Klawiatura USB  w układzie polski programisty – trwale oznaczona logo producenta jednostki centralnej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686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Mysz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Mysz optyczna USB  z pięcioma klawiszami oraz rolką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scroll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– trwale oznaczona logo producenta jednostki centralnej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producenta: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okres  co najmniej  </w:t>
            </w:r>
            <w:r w:rsidR="00BE31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miesięcy - świadczonej  w siedzibie Zamawiającego, chyba że niezbędne będzie naprawa sprzętu w siedzibie producenta, lub autoryzowanym przez niego punkcie serwisowym  - wówczas koszt transportu do i z naprawy pokrywa Wykonawca,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reakcji na zgłoszoną reklamację gwarancyjną - do końca następnego dnia roboczego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naprawy do 10 dni roboczych od momentu zgłoszenia przez Zamawiającego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Naprawy gwarancyjne urządzeń muszą być realizowane przez Producenta lub Autoryzowanego Partnera Serwisowego Producenta,</w:t>
            </w:r>
          </w:p>
          <w:p w:rsidR="004D1B4C" w:rsidRPr="00340DA9" w:rsidRDefault="004D1B4C" w:rsidP="00A576B5">
            <w:pPr>
              <w:pStyle w:val="Akapitzlist"/>
              <w:spacing w:after="24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dołączy do protokołu odbioru końcowego dokumenty potwierdzające gwarancję na dostarczony sprzęt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652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Wyposażenie dodatkowe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Oprogramowanie Antywirusowe w pełni kompatybilne z </w:t>
            </w:r>
            <w:r w:rsidRPr="00340DA9">
              <w:rPr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ESET Security Management Center</w:t>
            </w:r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umożliwiającym centralne zarządzanie oprogramowaniem AV zainstalowanym na stacjach roboczych. Licencja na oprogramowanie musi zapewniać ochronę stacji roboczych, urządzeń mobilnych, serwerów plików. Licencja musi zapewniać aktualizacje oraz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support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okresie 60 miesięcy od daty dostawy.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Zasilacz awaryjny UPS: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min. 700VA/ min. 385W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technologia Line Interactive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gniazda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wyjściowe 230V EU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czas przełączenia nie większy niż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przewód min. 1.5m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gwarancja przewidująca naprawę lub wymianę na okres min. 24 miesiące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informacja wizualna o stanie baterii – LED 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informacją dźwiękowa o przeciążaniu i wyczerpaniu baterii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waga: nie więcej niż 6.1kg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wysokość max. 205mm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Przewód typu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Patchcord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kat. 5e zakończone wtykiem RJ-45 – 1 sztuka o długości min. 3m, 1 sztuka o długości min. 5m.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41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Urządzenia muszą pochodzić z oficjalnego kanału dystrybucyjnego producenta. Urządzenia muszą być dedykowane dla projektu Zamawiającego, nie mogą pochodzić z innych projektów.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D1B4C" w:rsidRPr="00340DA9" w:rsidRDefault="004D1B4C" w:rsidP="004D1B4C">
      <w:pPr>
        <w:tabs>
          <w:tab w:val="left" w:pos="1560"/>
        </w:tabs>
        <w:spacing w:after="4" w:line="267" w:lineRule="auto"/>
        <w:ind w:left="10"/>
        <w:rPr>
          <w:rFonts w:asciiTheme="minorHAnsi" w:hAnsiTheme="minorHAnsi" w:cstheme="minorHAnsi"/>
          <w:sz w:val="22"/>
          <w:szCs w:val="22"/>
        </w:rPr>
      </w:pPr>
    </w:p>
    <w:p w:rsidR="00E53B8D" w:rsidRDefault="00E53B8D"/>
    <w:sectPr w:rsidR="00E53B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F7" w:rsidRDefault="00874EF7" w:rsidP="00874EF7">
      <w:r>
        <w:separator/>
      </w:r>
    </w:p>
  </w:endnote>
  <w:endnote w:type="continuationSeparator" w:id="0">
    <w:p w:rsidR="00874EF7" w:rsidRDefault="00874EF7" w:rsidP="0087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F7" w:rsidRDefault="00874EF7" w:rsidP="00874EF7">
      <w:r>
        <w:separator/>
      </w:r>
    </w:p>
  </w:footnote>
  <w:footnote w:type="continuationSeparator" w:id="0">
    <w:p w:rsidR="00874EF7" w:rsidRDefault="00874EF7" w:rsidP="0087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F7" w:rsidRDefault="000F52EE" w:rsidP="000F52EE">
    <w:pPr>
      <w:pStyle w:val="Nagwek"/>
    </w:pPr>
    <w:r>
      <w:t xml:space="preserve">Załącznik nr 2 – opis przedmiotu zamówienia </w:t>
    </w:r>
    <w:r>
      <w:tab/>
    </w:r>
    <w:r>
      <w:tab/>
    </w:r>
    <w:r w:rsidR="00874EF7">
      <w:t>DZ/15/ZO/2021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F98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54A9"/>
    <w:multiLevelType w:val="hybridMultilevel"/>
    <w:tmpl w:val="4BE030B6"/>
    <w:lvl w:ilvl="0" w:tplc="815AFE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91007"/>
    <w:multiLevelType w:val="hybridMultilevel"/>
    <w:tmpl w:val="B762CCE6"/>
    <w:lvl w:ilvl="0" w:tplc="5B1829E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87873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61C71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E3E82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7B0C8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01BC9"/>
    <w:multiLevelType w:val="hybridMultilevel"/>
    <w:tmpl w:val="B0B2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AFE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7C1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2D9B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D371A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9F4FCE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C"/>
    <w:rsid w:val="000F52EE"/>
    <w:rsid w:val="0011656A"/>
    <w:rsid w:val="00132D19"/>
    <w:rsid w:val="00194141"/>
    <w:rsid w:val="004D1B4C"/>
    <w:rsid w:val="00570B3A"/>
    <w:rsid w:val="00572166"/>
    <w:rsid w:val="006B1C6E"/>
    <w:rsid w:val="00874EF7"/>
    <w:rsid w:val="00883BE7"/>
    <w:rsid w:val="00950937"/>
    <w:rsid w:val="00A576B5"/>
    <w:rsid w:val="00B06169"/>
    <w:rsid w:val="00BE31D3"/>
    <w:rsid w:val="00C13007"/>
    <w:rsid w:val="00C56CD3"/>
    <w:rsid w:val="00E5088C"/>
    <w:rsid w:val="00E53B8D"/>
    <w:rsid w:val="00E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7EFF-A826-4F2A-BADD-447B995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B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B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B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1B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B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B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B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B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D1B4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D1B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B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1B4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D1B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1B4C"/>
    <w:pPr>
      <w:spacing w:after="0" w:line="240" w:lineRule="auto"/>
    </w:pPr>
    <w:rPr>
      <w:sz w:val="24"/>
    </w:rPr>
  </w:style>
  <w:style w:type="character" w:customStyle="1" w:styleId="BezodstpwZnak">
    <w:name w:val="Bez odstępów Znak"/>
    <w:link w:val="Bezodstpw"/>
    <w:uiPriority w:val="1"/>
    <w:rsid w:val="004D1B4C"/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874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E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E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2086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mdragan</dc:creator>
  <cp:keywords/>
  <dc:description/>
  <cp:lastModifiedBy>UK015</cp:lastModifiedBy>
  <cp:revision>8</cp:revision>
  <dcterms:created xsi:type="dcterms:W3CDTF">2021-10-25T10:16:00Z</dcterms:created>
  <dcterms:modified xsi:type="dcterms:W3CDTF">2021-11-05T10:51:00Z</dcterms:modified>
</cp:coreProperties>
</file>