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64E" w:rsidRDefault="00F4664E" w:rsidP="00F4664E">
      <w:pPr>
        <w:ind w:firstLine="708"/>
        <w:jc w:val="both"/>
        <w:rPr>
          <w:sz w:val="24"/>
          <w:szCs w:val="24"/>
        </w:rPr>
      </w:pPr>
    </w:p>
    <w:p w:rsidR="00F4664E" w:rsidRPr="00F4664E" w:rsidRDefault="00F4664E" w:rsidP="00F4664E">
      <w:pPr>
        <w:ind w:firstLine="708"/>
        <w:jc w:val="right"/>
        <w:rPr>
          <w:b/>
          <w:sz w:val="24"/>
          <w:szCs w:val="24"/>
        </w:rPr>
      </w:pPr>
      <w:r w:rsidRPr="00F4664E">
        <w:rPr>
          <w:b/>
          <w:sz w:val="24"/>
          <w:szCs w:val="24"/>
        </w:rPr>
        <w:t>Załącznik nr 2 Opis przedmiotu zamówienia</w:t>
      </w:r>
    </w:p>
    <w:p w:rsidR="00F4664E" w:rsidRDefault="00F4664E" w:rsidP="00F4664E">
      <w:pPr>
        <w:ind w:firstLine="708"/>
        <w:jc w:val="both"/>
        <w:rPr>
          <w:sz w:val="24"/>
          <w:szCs w:val="24"/>
        </w:rPr>
      </w:pPr>
      <w:r w:rsidRPr="007D203B">
        <w:rPr>
          <w:sz w:val="24"/>
          <w:szCs w:val="24"/>
        </w:rPr>
        <w:t xml:space="preserve">Przedmiotem </w:t>
      </w:r>
      <w:r>
        <w:rPr>
          <w:sz w:val="24"/>
          <w:szCs w:val="24"/>
        </w:rPr>
        <w:t xml:space="preserve">zamówienia </w:t>
      </w:r>
      <w:r w:rsidRPr="007D203B">
        <w:rPr>
          <w:sz w:val="24"/>
          <w:szCs w:val="24"/>
        </w:rPr>
        <w:t xml:space="preserve"> jest wyposażenie przestrzeni parkowej przy SZPZOZ im. Dzieci Warszawy </w:t>
      </w:r>
      <w:proofErr w:type="spellStart"/>
      <w:r w:rsidRPr="007D203B">
        <w:rPr>
          <w:sz w:val="24"/>
          <w:szCs w:val="24"/>
        </w:rPr>
        <w:t>Dziekanowie</w:t>
      </w:r>
      <w:proofErr w:type="spellEnd"/>
      <w:r w:rsidRPr="007D203B">
        <w:rPr>
          <w:sz w:val="24"/>
          <w:szCs w:val="24"/>
        </w:rPr>
        <w:t xml:space="preserve"> Leśnym oraz 2 terenach zielonych między skrzydłami budynki w 2 wiaty rowerowe, 8 ławek, 2 stoły z ławkami, 8 koszy na śmieci, budki lęgowe dla ptaków oraz tablice edukacyjne.</w:t>
      </w:r>
      <w:r>
        <w:rPr>
          <w:sz w:val="24"/>
          <w:szCs w:val="24"/>
        </w:rPr>
        <w:t xml:space="preserve"> </w:t>
      </w:r>
    </w:p>
    <w:p w:rsidR="00F4664E" w:rsidRDefault="00F4664E" w:rsidP="00F4664E">
      <w:pPr>
        <w:ind w:firstLine="708"/>
        <w:jc w:val="both"/>
        <w:rPr>
          <w:sz w:val="24"/>
          <w:szCs w:val="24"/>
        </w:rPr>
      </w:pPr>
    </w:p>
    <w:p w:rsidR="00F4664E" w:rsidRPr="00A87DB2" w:rsidRDefault="00F4664E" w:rsidP="00F4664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Zalesiony teren przed S</w:t>
      </w:r>
      <w:r w:rsidRPr="00A87DB2">
        <w:rPr>
          <w:sz w:val="24"/>
          <w:szCs w:val="24"/>
        </w:rPr>
        <w:t>zpitalem</w:t>
      </w:r>
      <w:r>
        <w:rPr>
          <w:sz w:val="24"/>
          <w:szCs w:val="24"/>
        </w:rPr>
        <w:t xml:space="preserve"> (park)</w:t>
      </w:r>
      <w:r w:rsidRPr="00A87DB2">
        <w:rPr>
          <w:sz w:val="24"/>
          <w:szCs w:val="24"/>
        </w:rPr>
        <w:t xml:space="preserve"> oraz 2 tereny zielone między skrzydłami budynku SZPZOZ im. Dzieci Warszawy w </w:t>
      </w:r>
      <w:proofErr w:type="spellStart"/>
      <w:r w:rsidRPr="00A87DB2">
        <w:rPr>
          <w:sz w:val="24"/>
          <w:szCs w:val="24"/>
        </w:rPr>
        <w:t>Dziekanowie</w:t>
      </w:r>
      <w:proofErr w:type="spellEnd"/>
      <w:r w:rsidRPr="00A87DB2">
        <w:rPr>
          <w:sz w:val="24"/>
          <w:szCs w:val="24"/>
        </w:rPr>
        <w:t xml:space="preserve"> Leśnym ul. Marii Konopnickiej 65 05-092 Łomianki</w:t>
      </w:r>
      <w:r>
        <w:rPr>
          <w:sz w:val="24"/>
          <w:szCs w:val="24"/>
        </w:rPr>
        <w:t>.</w:t>
      </w:r>
    </w:p>
    <w:p w:rsidR="00F4664E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>Zakres robót obejmuje:</w:t>
      </w:r>
    </w:p>
    <w:p w:rsidR="00F4664E" w:rsidRPr="007D203B" w:rsidRDefault="00F4664E" w:rsidP="00F4664E">
      <w:pPr>
        <w:rPr>
          <w:sz w:val="24"/>
          <w:szCs w:val="24"/>
        </w:rPr>
      </w:pP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 w:rsidRPr="007D203B">
        <w:t>Budowa utwardzonej nawierzchni ścieżek gruntu mineralnego z obrzeżami z betonu szerokości 2m – preferowane nawierzchnie wodoprzepuszczalne, dobrze zagęszczona, niebrudząca, niepyląca i łatwa w utrzymaniu</w:t>
      </w:r>
      <w:r>
        <w:t xml:space="preserve">. Ze względu na swe parametry powinna mieć możliwość klasyfikacji jako powierzchnia biologicznie czynna. Powinna być całkowicie bezpieczna i neutralna dla środowiska. Lokalizację ścieżek należy wytyczyć </w:t>
      </w:r>
      <w:r w:rsidR="00BB172F">
        <w:br/>
      </w:r>
      <w:r>
        <w:t>z uwzględnieniem braku kolizji z drzewami. Zalecana wizja lokalna.</w:t>
      </w: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>
        <w:t xml:space="preserve">Zakup, dostawa i montaż tablic edukacyjnych – Stelaż tablicy edukacyjnej powinien zostać </w:t>
      </w:r>
      <w:r w:rsidRPr="00580164">
        <w:t>wykonany z impregnowanego drewna</w:t>
      </w:r>
      <w:r>
        <w:t xml:space="preserve"> lub o konstrukcji metalowej zabezpieczonej antykorozyjnie. Stelaż powinien zostać</w:t>
      </w:r>
      <w:r w:rsidRPr="00580164">
        <w:t xml:space="preserve"> zabetonowany w podłoży oraz trudny do uszkodzenia.</w:t>
      </w:r>
      <w:r>
        <w:t xml:space="preserve"> Powinna się zmieścić na nim tablica o wymiarach co najmniej </w:t>
      </w:r>
      <w:r w:rsidRPr="00D51A4B">
        <w:t>120 x 80 cm</w:t>
      </w:r>
      <w:r>
        <w:t xml:space="preserve">.(każda z tablic). </w:t>
      </w:r>
      <w:r w:rsidRPr="00580164">
        <w:t xml:space="preserve">Do zadań wykonawcy należeć będzie również przygotowanie tablicy informacyjnej na podstawie oddzielnych materiałów przekazanych przez </w:t>
      </w:r>
      <w:r>
        <w:t>Z</w:t>
      </w:r>
      <w:r w:rsidRPr="00580164">
        <w:t>amawiającego. Plansza tablicy informacyjnej powinn</w:t>
      </w:r>
      <w:r>
        <w:t>a być odporna</w:t>
      </w:r>
      <w:r w:rsidRPr="00580164">
        <w:t xml:space="preserve"> na warunki atmosferyczne, zabezpieczon</w:t>
      </w:r>
      <w:r>
        <w:t>a</w:t>
      </w:r>
      <w:r w:rsidRPr="00580164">
        <w:t xml:space="preserve"> laminatem UV, który chroni tablice przed uszkodzeniami mechanicznymi oraz promieniami słonecznymi. Podłożem powinna być blacha ocynkowana o gr.0,6 mm lub grubsza lub inny równie trwały materiał.  Planowany jest montaż:</w:t>
      </w:r>
    </w:p>
    <w:p w:rsidR="00F4664E" w:rsidRDefault="00F4664E" w:rsidP="00BB172F">
      <w:pPr>
        <w:pStyle w:val="Akapitzlist"/>
        <w:numPr>
          <w:ilvl w:val="1"/>
          <w:numId w:val="3"/>
        </w:numPr>
        <w:jc w:val="both"/>
      </w:pPr>
      <w:r>
        <w:t xml:space="preserve">4 szt. Kolorowych tablic edukacyjnych </w:t>
      </w:r>
    </w:p>
    <w:p w:rsidR="00F4664E" w:rsidRDefault="00F4664E" w:rsidP="00BB172F">
      <w:pPr>
        <w:pStyle w:val="Akapitzlist"/>
        <w:numPr>
          <w:ilvl w:val="1"/>
          <w:numId w:val="3"/>
        </w:numPr>
        <w:jc w:val="both"/>
      </w:pPr>
      <w:r>
        <w:t>3 szt. Kolorowych tablic z lekcją dendrologii</w:t>
      </w:r>
    </w:p>
    <w:p w:rsidR="00F4664E" w:rsidRDefault="00F4664E" w:rsidP="00BB172F">
      <w:pPr>
        <w:pStyle w:val="Akapitzlist"/>
        <w:numPr>
          <w:ilvl w:val="1"/>
          <w:numId w:val="3"/>
        </w:numPr>
        <w:jc w:val="both"/>
      </w:pPr>
      <w:r>
        <w:t>1 szt. Korowej tablicy informacyjno-edukacyjnej o Kampinoskim Parku Narodowym.</w:t>
      </w:r>
      <w:r>
        <w:tab/>
      </w: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>
        <w:t xml:space="preserve">Zakup, dostawa i montaż budek lęgowych dla ptaków – 2 szt. o konstrukcji drewnianej. </w:t>
      </w: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>
        <w:t>Zakup, dostawa i montaż ławek (8 szt.) i koszy na śmieci (8 szt.) – ławki i kosze na śmieci powinny stanowić zestaw lub pasować do siebie pod względem wizualnym. Preferowane są ławki parkowe o profilu stalowym z drewnianym siedziskiem. Montaż ławek  na stałe, betonowe stopy. Kosze na śmieci mogą być betonowe</w:t>
      </w:r>
      <w:r w:rsidR="00BB172F">
        <w:t>, stalowe lub stalowo-drewniane</w:t>
      </w:r>
      <w:r>
        <w:t>,</w:t>
      </w:r>
      <w:r w:rsidR="00BB172F">
        <w:br/>
      </w:r>
      <w:r>
        <w:t xml:space="preserve"> w przypadku stalowych lub stalowo-drewnianych montaż na stałe.  Przed montażem niezbędna jest akceptacja Zamawiającego wybranych modeli. </w:t>
      </w: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>
        <w:t>Zakup, dostawa i montaż 2 stołów betonowych wraz z ławkami</w:t>
      </w: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>
        <w:t xml:space="preserve">Zakup dostawa i montaż/ budowę wiaty rowerowej (2 szt.) – Zadaszona wiata rowerowa mogąca pomieścić co najmniej 10 rowerów w konstrukcji stalowej lub stalowo drewnianej. Wymagana akceptacja Zamawiającego. Podłoże wiat rowerowych powinno być utwardzone i wykonane z nawierzchni mineralnej o podobnych parametrach co ścieżki parkowe. </w:t>
      </w:r>
    </w:p>
    <w:p w:rsidR="00F4664E" w:rsidRDefault="00F4664E" w:rsidP="00BB172F">
      <w:pPr>
        <w:pStyle w:val="Akapitzlist"/>
        <w:numPr>
          <w:ilvl w:val="0"/>
          <w:numId w:val="3"/>
        </w:numPr>
        <w:jc w:val="both"/>
      </w:pPr>
      <w:r>
        <w:t>Na elementach małej  architektury musi być oznaczenie zawierające  Logo Marki Mazowsze i Logo  BOM i  formułę -  „Zadanie zrealizowane ze Środków Samorządu Województwa Mazowieckiego w ramach Budżetu Obywatelskiego Mazowsza”- logo Marki Mazowsze oraz logo BOM dostępne u Zamawiającego.</w:t>
      </w:r>
    </w:p>
    <w:p w:rsidR="00F4664E" w:rsidRDefault="00F4664E" w:rsidP="00F4664E">
      <w:pPr>
        <w:pStyle w:val="Akapitzlist"/>
        <w:numPr>
          <w:ilvl w:val="0"/>
          <w:numId w:val="3"/>
        </w:numPr>
      </w:pPr>
      <w:r>
        <w:lastRenderedPageBreak/>
        <w:t xml:space="preserve">Zakup, dostawa i montaż kamer wraz z systemowym oprogramowaniem w miejscu wyznaczonym przez Zamawiającego. </w:t>
      </w:r>
    </w:p>
    <w:p w:rsidR="00F4664E" w:rsidRDefault="00F4664E" w:rsidP="00F4664E">
      <w:pPr>
        <w:pStyle w:val="Akapitzlist"/>
        <w:numPr>
          <w:ilvl w:val="0"/>
          <w:numId w:val="3"/>
        </w:numPr>
      </w:pPr>
      <w:r>
        <w:t>Podczas realizacji inwestycji wykonywane będą roboty budowlane:</w:t>
      </w:r>
    </w:p>
    <w:p w:rsidR="00F4664E" w:rsidRDefault="00F4664E" w:rsidP="00F4664E">
      <w:pPr>
        <w:pStyle w:val="Akapitzlist"/>
        <w:numPr>
          <w:ilvl w:val="1"/>
          <w:numId w:val="3"/>
        </w:numPr>
      </w:pPr>
      <w:r>
        <w:t>wykonywanie wykopów</w:t>
      </w:r>
    </w:p>
    <w:p w:rsidR="00F4664E" w:rsidRDefault="00F4664E" w:rsidP="00F4664E">
      <w:pPr>
        <w:pStyle w:val="Akapitzlist"/>
        <w:numPr>
          <w:ilvl w:val="1"/>
          <w:numId w:val="3"/>
        </w:numPr>
      </w:pPr>
      <w:r>
        <w:t>wykonywanie robót montażowych</w:t>
      </w:r>
    </w:p>
    <w:p w:rsidR="00F4664E" w:rsidRDefault="00F4664E" w:rsidP="00F4664E">
      <w:pPr>
        <w:pStyle w:val="Akapitzlist"/>
        <w:numPr>
          <w:ilvl w:val="1"/>
          <w:numId w:val="3"/>
        </w:numPr>
      </w:pPr>
    </w:p>
    <w:p w:rsidR="00F4664E" w:rsidRDefault="00F4664E" w:rsidP="00F4664E">
      <w:pPr>
        <w:pStyle w:val="Akapitzlist"/>
      </w:pPr>
    </w:p>
    <w:p w:rsidR="00F4664E" w:rsidRPr="00356FDD" w:rsidRDefault="00F4664E" w:rsidP="00BB172F">
      <w:pPr>
        <w:ind w:firstLine="360"/>
        <w:jc w:val="both"/>
        <w:rPr>
          <w:sz w:val="24"/>
          <w:szCs w:val="24"/>
        </w:rPr>
      </w:pPr>
      <w:r w:rsidRPr="00356FDD">
        <w:rPr>
          <w:sz w:val="24"/>
          <w:szCs w:val="24"/>
        </w:rPr>
        <w:t xml:space="preserve">Charakter planowanych robót budowlanych stwarza ryzyko powstania zagrożenia dla bezpieczeństwa i zdrowia dla zatrudnionych na budowie pracowników. Zgodnie z Rozporządzeniem Ministra Infrastruktury z dnia 23 czerwca 2003 r. w sprawie informacji dotyczącej bezpieczeństwa i ochrony zdrowia oraz planu bezpieczeństwa i ochrony zdrowia (Dz.U. nr 2003 nr 120 poz. 1126) dla tego przedsięwzięcia powinien być opracowany plan bezpieczeństwa i ochrony zdrowia. Opracowanie planu bezpieczeństwa i ochrony zdrowia należy do obowiązków Kierownika Budowy, zgodnie z art. 21a Ustawy Prawo Budowlane z dnia 7 lipca 1994 r. (Dz. U. 1994 nr 89 poz. 414). Plan </w:t>
      </w:r>
      <w:proofErr w:type="spellStart"/>
      <w:r w:rsidRPr="00356FDD">
        <w:rPr>
          <w:sz w:val="24"/>
          <w:szCs w:val="24"/>
        </w:rPr>
        <w:t>BiOZ</w:t>
      </w:r>
      <w:proofErr w:type="spellEnd"/>
      <w:r w:rsidRPr="00356FDD">
        <w:rPr>
          <w:sz w:val="24"/>
          <w:szCs w:val="24"/>
        </w:rPr>
        <w:t xml:space="preserve"> powinien być opracowany przed rozpoczęciem budowy, z uwzględnieniem specyfiki obiektów i warunków prowadzenia robót budowlanych. Roboty budowlane należy wykonywać zgodnie z Rozporządzeniem Ministra Infrastruktury z dnia 6 lutego 2003 r. w sprawie bezpieczeństwa i higieny pracy podczas wykonywania robót budowlanych (Dz. U. 2003 nr 47 poz. 401).</w:t>
      </w:r>
    </w:p>
    <w:p w:rsidR="00F4664E" w:rsidRDefault="00F4664E" w:rsidP="00F4664E">
      <w:pPr>
        <w:pStyle w:val="Nagwek1"/>
      </w:pPr>
      <w:bookmarkStart w:id="0" w:name="_Toc97504540"/>
      <w:r>
        <w:t>KOLEJNOŚĆ WYNONYWANIA ROBÓT</w:t>
      </w:r>
      <w:bookmarkEnd w:id="0"/>
    </w:p>
    <w:p w:rsidR="00F4664E" w:rsidRPr="00356FDD" w:rsidRDefault="00F4664E" w:rsidP="00F4664E">
      <w:pPr>
        <w:rPr>
          <w:sz w:val="24"/>
          <w:szCs w:val="24"/>
        </w:rPr>
      </w:pPr>
      <w:r w:rsidRPr="00356FDD">
        <w:rPr>
          <w:sz w:val="24"/>
          <w:szCs w:val="24"/>
        </w:rPr>
        <w:t>Niezbędne roboty budowlane należy wykonywać w następującej kolejności: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wyznaczenie ścieżek zgodnie z projektem przy uwzględnieniu już istniejących drzew, które należy ominąć,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przygotowanie podłoża,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korytowanie,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montaż obrzeży betonowych,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profilowanie i zagęszczenie podłoża,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wykonanie warstwy podbudowy,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wykonanie nawierzchni mineralnej,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zakup, dostawa i montaż elementów małej architektury,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zakup, dostawa i montaż/ Budowa wiat rowerowych,</w:t>
      </w:r>
    </w:p>
    <w:p w:rsidR="00F4664E" w:rsidRPr="00356FDD" w:rsidRDefault="00F4664E" w:rsidP="00F4664E">
      <w:pPr>
        <w:pStyle w:val="Akapitzlist"/>
        <w:numPr>
          <w:ilvl w:val="0"/>
          <w:numId w:val="1"/>
        </w:numPr>
      </w:pPr>
      <w:r w:rsidRPr="00356FDD">
        <w:t>zakup, dostawa i montaż kamery wraz z niezbędną konfiguracją systemu.</w:t>
      </w:r>
    </w:p>
    <w:p w:rsidR="00F4664E" w:rsidRPr="00356FDD" w:rsidRDefault="00F4664E" w:rsidP="00F4664E">
      <w:pPr>
        <w:rPr>
          <w:sz w:val="24"/>
          <w:szCs w:val="24"/>
        </w:rPr>
      </w:pPr>
      <w:r w:rsidRPr="00356FDD">
        <w:rPr>
          <w:sz w:val="24"/>
          <w:szCs w:val="24"/>
        </w:rPr>
        <w:t xml:space="preserve">Podana powyżej kolejność jest tylko orientacyjna. Niektóre prace można wykonywać równolegle. Przed montażem należy skonsultować miejsce i rodzaj wykorzystanych elementów z </w:t>
      </w:r>
      <w:r>
        <w:rPr>
          <w:sz w:val="24"/>
          <w:szCs w:val="24"/>
        </w:rPr>
        <w:t>Zamawiającym</w:t>
      </w:r>
      <w:r w:rsidRPr="00356FDD">
        <w:rPr>
          <w:sz w:val="24"/>
          <w:szCs w:val="24"/>
        </w:rPr>
        <w:t xml:space="preserve">. </w:t>
      </w:r>
    </w:p>
    <w:p w:rsidR="00F4664E" w:rsidRPr="007D203B" w:rsidRDefault="00F4664E" w:rsidP="00F4664E">
      <w:pPr>
        <w:pStyle w:val="Nagwek1"/>
        <w:rPr>
          <w:rFonts w:ascii="Times New Roman" w:hAnsi="Times New Roman"/>
          <w:sz w:val="24"/>
          <w:szCs w:val="24"/>
        </w:rPr>
      </w:pPr>
      <w:bookmarkStart w:id="1" w:name="_Toc97504541"/>
      <w:r w:rsidRPr="007D203B">
        <w:rPr>
          <w:rFonts w:ascii="Times New Roman" w:hAnsi="Times New Roman"/>
          <w:sz w:val="24"/>
          <w:szCs w:val="24"/>
        </w:rPr>
        <w:t>ORGANIZACJA PLACU BUDOWY</w:t>
      </w:r>
      <w:bookmarkEnd w:id="1"/>
    </w:p>
    <w:p w:rsidR="00F4664E" w:rsidRPr="007D203B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 xml:space="preserve">Wszelkie roboty budowlano-montażowe należy wykonywać zgodnie z technologią wykonania robót i instrukcją producenta z zachowaniem zasad BHP. Istotne jest przestrzeganie kolejności robót. </w:t>
      </w:r>
    </w:p>
    <w:p w:rsidR="00F4664E" w:rsidRPr="007D203B" w:rsidRDefault="00F4664E" w:rsidP="00F4664E">
      <w:pPr>
        <w:pStyle w:val="Nagwek1"/>
        <w:rPr>
          <w:rFonts w:ascii="Times New Roman" w:hAnsi="Times New Roman"/>
          <w:sz w:val="24"/>
          <w:szCs w:val="24"/>
        </w:rPr>
      </w:pPr>
      <w:r w:rsidRPr="007D203B">
        <w:rPr>
          <w:rFonts w:ascii="Times New Roman" w:hAnsi="Times New Roman"/>
          <w:sz w:val="24"/>
          <w:szCs w:val="24"/>
        </w:rPr>
        <w:t>MONITORING</w:t>
      </w:r>
    </w:p>
    <w:p w:rsidR="00F4664E" w:rsidRPr="007D203B" w:rsidRDefault="00F4664E" w:rsidP="00BB172F">
      <w:pPr>
        <w:jc w:val="both"/>
        <w:rPr>
          <w:sz w:val="24"/>
          <w:szCs w:val="24"/>
        </w:rPr>
      </w:pPr>
      <w:r w:rsidRPr="007D203B">
        <w:rPr>
          <w:sz w:val="24"/>
          <w:szCs w:val="24"/>
        </w:rPr>
        <w:t>W ramach zadania należy zamontować 6 kamer CCTV w lokalizacji zgodnej z rysunkiem zagospodarowania terenu. Okablowanie zaś doprowadzić zgodnie z poniższymi wytycznymi</w:t>
      </w:r>
    </w:p>
    <w:p w:rsidR="00F4664E" w:rsidRPr="007D203B" w:rsidRDefault="00F4664E" w:rsidP="00BB172F">
      <w:pPr>
        <w:pStyle w:val="Akapitzlist"/>
        <w:numPr>
          <w:ilvl w:val="0"/>
          <w:numId w:val="4"/>
        </w:numPr>
        <w:jc w:val="both"/>
      </w:pPr>
      <w:r w:rsidRPr="007D203B">
        <w:t>Kamery zewnętrzne 1 i 2 – montaż i podłączenie do przełącznika znajdującego się</w:t>
      </w:r>
      <w:r w:rsidR="00BB172F">
        <w:br/>
      </w:r>
      <w:r w:rsidRPr="007D203B">
        <w:t xml:space="preserve"> w punkcie dystrybucyjnym (PD1 na planie) na portierni przy bramie.</w:t>
      </w:r>
    </w:p>
    <w:p w:rsidR="00F4664E" w:rsidRPr="007D203B" w:rsidRDefault="00F4664E" w:rsidP="00F4664E">
      <w:pPr>
        <w:pStyle w:val="Akapitzlist"/>
        <w:numPr>
          <w:ilvl w:val="0"/>
          <w:numId w:val="4"/>
        </w:numPr>
      </w:pPr>
      <w:r w:rsidRPr="007D203B">
        <w:lastRenderedPageBreak/>
        <w:t>Kamery zewnętrzne 3 i 4 – montaż na elewacji na poziomie pierwszego piętra i podłączenie do przełącznika znajdującego się w punkcie dystrybucyjnym (PD2 na planie) na parterze CLM.</w:t>
      </w:r>
    </w:p>
    <w:p w:rsidR="00F4664E" w:rsidRDefault="00F4664E" w:rsidP="00F4664E">
      <w:pPr>
        <w:pStyle w:val="Akapitzlist"/>
        <w:numPr>
          <w:ilvl w:val="0"/>
          <w:numId w:val="4"/>
        </w:numPr>
      </w:pPr>
      <w:r w:rsidRPr="007D203B">
        <w:t>Kamery zewnętrzne 5 i 6 – montaż na elewacji na poziomie pierwszego piętra, poprowadzenie przewodów do serwerowni (S na planie) na parterze przy wejściu.</w:t>
      </w:r>
    </w:p>
    <w:p w:rsidR="00F4664E" w:rsidRDefault="00F4664E" w:rsidP="00F4664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11"/>
      </w:tblGrid>
      <w:tr w:rsidR="00F4664E" w:rsidTr="004527CC">
        <w:trPr>
          <w:trHeight w:val="108"/>
        </w:trPr>
        <w:tc>
          <w:tcPr>
            <w:tcW w:w="7911" w:type="dxa"/>
          </w:tcPr>
          <w:p w:rsidR="00F4664E" w:rsidRPr="00BB172F" w:rsidRDefault="00F4664E" w:rsidP="004527CC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BB172F">
              <w:rPr>
                <w:rFonts w:ascii="Times New Roman" w:hAnsi="Times New Roman" w:cs="Times New Roman"/>
              </w:rPr>
              <w:t xml:space="preserve">Zamawiający nie dopuszcza wykonanie instalacji natynkowo w korytkach. </w:t>
            </w:r>
          </w:p>
        </w:tc>
      </w:tr>
      <w:tr w:rsidR="00F4664E" w:rsidTr="004527CC">
        <w:trPr>
          <w:trHeight w:val="108"/>
        </w:trPr>
        <w:tc>
          <w:tcPr>
            <w:tcW w:w="7911" w:type="dxa"/>
          </w:tcPr>
          <w:p w:rsidR="00F4664E" w:rsidRDefault="00F4664E" w:rsidP="004527CC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:rsidR="00F4664E" w:rsidRPr="007D203B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>Zdjęcia poniższe przedstawiają preferowane lokalizację kamer.</w:t>
      </w:r>
    </w:p>
    <w:p w:rsidR="00F4664E" w:rsidRDefault="00F4664E" w:rsidP="00F4664E"/>
    <w:tbl>
      <w:tblPr>
        <w:tblW w:w="0" w:type="auto"/>
        <w:tblLook w:val="04A0" w:firstRow="1" w:lastRow="0" w:firstColumn="1" w:lastColumn="0" w:noHBand="0" w:noVBand="1"/>
      </w:tblPr>
      <w:tblGrid>
        <w:gridCol w:w="5046"/>
        <w:gridCol w:w="3636"/>
      </w:tblGrid>
      <w:tr w:rsidR="00F4664E" w:rsidTr="004527CC">
        <w:trPr>
          <w:trHeight w:val="5679"/>
        </w:trPr>
        <w:tc>
          <w:tcPr>
            <w:tcW w:w="1265" w:type="dxa"/>
            <w:shd w:val="clear" w:color="auto" w:fill="auto"/>
          </w:tcPr>
          <w:p w:rsidR="00F4664E" w:rsidRPr="00D22EA0" w:rsidRDefault="00F4664E" w:rsidP="004527CC">
            <w:pPr>
              <w:rPr>
                <w:rFonts w:ascii="Calibri" w:eastAsia="Calibri" w:hAnsi="Calibri"/>
                <w:sz w:val="22"/>
                <w:szCs w:val="22"/>
              </w:rPr>
            </w:pPr>
            <w:r w:rsidRPr="00D22EA0">
              <w:rPr>
                <w:rFonts w:ascii="Calibri" w:eastAsia="Calibri" w:hAnsi="Calibr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3057525" cy="2295525"/>
                  <wp:effectExtent l="0" t="0" r="9525" b="9525"/>
                  <wp:docPr id="4" name="Obraz 4" descr="Obraz zawierający tekst, budynek, zewnętrzne, opaleniz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braz zawierający tekst, budynek, zewnętrzne, opaleniz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shd w:val="clear" w:color="auto" w:fill="auto"/>
          </w:tcPr>
          <w:p w:rsidR="00F4664E" w:rsidRPr="00D22EA0" w:rsidRDefault="00F4664E" w:rsidP="004527CC">
            <w:pPr>
              <w:rPr>
                <w:rFonts w:ascii="Calibri" w:eastAsia="Calibri" w:hAnsi="Calibri"/>
                <w:sz w:val="22"/>
                <w:szCs w:val="22"/>
              </w:rPr>
            </w:pPr>
            <w:r w:rsidRPr="00D22EA0">
              <w:rPr>
                <w:rFonts w:ascii="Calibri" w:eastAsia="Calibri" w:hAnsi="Calibr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2162175" cy="2333625"/>
                  <wp:effectExtent l="0" t="0" r="9525" b="9525"/>
                  <wp:docPr id="3" name="Obraz 3" descr="Obraz zawierający tekst, budynek, zewnętr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tekst, budynek, zewnętrz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64E" w:rsidRDefault="00F4664E" w:rsidP="00F4664E"/>
    <w:p w:rsidR="00F4664E" w:rsidRDefault="00F4664E" w:rsidP="00F4664E">
      <w:r>
        <w:br w:type="page"/>
      </w:r>
    </w:p>
    <w:p w:rsidR="00F4664E" w:rsidRDefault="00F4664E" w:rsidP="00F4664E"/>
    <w:tbl>
      <w:tblPr>
        <w:tblW w:w="0" w:type="auto"/>
        <w:tblLook w:val="04A0" w:firstRow="1" w:lastRow="0" w:firstColumn="1" w:lastColumn="0" w:noHBand="0" w:noVBand="1"/>
      </w:tblPr>
      <w:tblGrid>
        <w:gridCol w:w="4266"/>
        <w:gridCol w:w="4806"/>
      </w:tblGrid>
      <w:tr w:rsidR="00F4664E" w:rsidTr="004527CC">
        <w:trPr>
          <w:trHeight w:val="4287"/>
        </w:trPr>
        <w:tc>
          <w:tcPr>
            <w:tcW w:w="4641" w:type="dxa"/>
            <w:shd w:val="clear" w:color="auto" w:fill="auto"/>
          </w:tcPr>
          <w:p w:rsidR="00F4664E" w:rsidRPr="00D22EA0" w:rsidRDefault="00F4664E" w:rsidP="004527CC">
            <w:pPr>
              <w:rPr>
                <w:rFonts w:ascii="Calibri" w:eastAsia="Calibri" w:hAnsi="Calibri"/>
                <w:sz w:val="22"/>
                <w:szCs w:val="22"/>
              </w:rPr>
            </w:pPr>
            <w:r w:rsidRPr="00D22EA0">
              <w:rPr>
                <w:rFonts w:ascii="Calibri" w:eastAsia="Calibri" w:hAnsi="Calibr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2447925" cy="3267075"/>
                  <wp:effectExtent l="0" t="0" r="9525" b="9525"/>
                  <wp:docPr id="2" name="Obraz 2" descr="Obraz zawierający tekst, zewnętrzne, nieb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braz zawierający tekst, zewnętrzne, nieb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shd w:val="clear" w:color="auto" w:fill="auto"/>
          </w:tcPr>
          <w:p w:rsidR="00F4664E" w:rsidRPr="00D22EA0" w:rsidRDefault="00F4664E" w:rsidP="004527CC">
            <w:pPr>
              <w:rPr>
                <w:rFonts w:ascii="Calibri" w:eastAsia="Calibri" w:hAnsi="Calibri"/>
                <w:sz w:val="22"/>
                <w:szCs w:val="22"/>
              </w:rPr>
            </w:pPr>
            <w:r w:rsidRPr="00D22EA0">
              <w:rPr>
                <w:rFonts w:ascii="Calibri" w:eastAsia="Calibri" w:hAnsi="Calibr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2905125" cy="3267075"/>
                  <wp:effectExtent l="0" t="0" r="9525" b="9525"/>
                  <wp:docPr id="1" name="Obraz 1" descr="Obraz zawierający trawa, budynek, zewnętrzne, blok mieszkal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braz zawierający trawa, budynek, zewnętrzne, blok mieszkal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64E" w:rsidRDefault="00F4664E" w:rsidP="00F4664E"/>
    <w:p w:rsidR="00F4664E" w:rsidRPr="007D203B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>W ramach zadania dostarczone i zamontowane powinny być urządzenia i okablowanie nimi FTP 5e</w:t>
      </w:r>
    </w:p>
    <w:p w:rsidR="00F4664E" w:rsidRDefault="00F4664E" w:rsidP="00F4664E"/>
    <w:p w:rsidR="00F4664E" w:rsidRPr="000E4B17" w:rsidRDefault="00F4664E" w:rsidP="00F4664E">
      <w:pPr>
        <w:pStyle w:val="Akapitzlist"/>
        <w:numPr>
          <w:ilvl w:val="0"/>
          <w:numId w:val="7"/>
        </w:numPr>
        <w:rPr>
          <w:b/>
          <w:bCs/>
        </w:rPr>
      </w:pPr>
      <w:r w:rsidRPr="000E4B17">
        <w:rPr>
          <w:b/>
          <w:bCs/>
        </w:rPr>
        <w:t xml:space="preserve">6 kamer o parametrach: </w:t>
      </w:r>
    </w:p>
    <w:p w:rsidR="00F4664E" w:rsidRDefault="00F4664E" w:rsidP="00F4664E"/>
    <w:p w:rsidR="00F4664E" w:rsidRPr="007D203B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>Preferowany model kamery HIKVISION DS-2CD264</w:t>
      </w:r>
      <w:r>
        <w:rPr>
          <w:sz w:val="24"/>
          <w:szCs w:val="24"/>
        </w:rPr>
        <w:t>6</w:t>
      </w:r>
      <w:r w:rsidRPr="007D203B">
        <w:rPr>
          <w:sz w:val="24"/>
          <w:szCs w:val="24"/>
        </w:rPr>
        <w:t>G</w:t>
      </w:r>
      <w:r>
        <w:rPr>
          <w:sz w:val="24"/>
          <w:szCs w:val="24"/>
        </w:rPr>
        <w:t>2</w:t>
      </w:r>
      <w:r w:rsidRPr="007D203B">
        <w:rPr>
          <w:sz w:val="24"/>
          <w:szCs w:val="24"/>
        </w:rPr>
        <w:t>-IZS</w:t>
      </w:r>
      <w:r>
        <w:rPr>
          <w:sz w:val="24"/>
          <w:szCs w:val="24"/>
        </w:rPr>
        <w:t>(2.8-12mm)(C)</w:t>
      </w:r>
      <w:r w:rsidRPr="007D203B">
        <w:rPr>
          <w:sz w:val="24"/>
          <w:szCs w:val="24"/>
        </w:rPr>
        <w:t xml:space="preserve"> lub równoważny w pełni kompatybilna z rejestratorem DS-9664NI-I16, który jest w posiadaniu Zamawiającego</w:t>
      </w:r>
      <w:r>
        <w:rPr>
          <w:sz w:val="24"/>
          <w:szCs w:val="24"/>
        </w:rPr>
        <w:t>:</w:t>
      </w:r>
      <w:r w:rsidRPr="007D203B">
        <w:rPr>
          <w:sz w:val="24"/>
          <w:szCs w:val="24"/>
        </w:rPr>
        <w:t xml:space="preserve"> 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przetwornik: 1/3" </w:t>
      </w:r>
      <w:r>
        <w:rPr>
          <w:color w:val="444444"/>
          <w:sz w:val="24"/>
          <w:szCs w:val="24"/>
        </w:rPr>
        <w:t xml:space="preserve">4MP </w:t>
      </w:r>
      <w:r w:rsidRPr="007D203B">
        <w:rPr>
          <w:color w:val="444444"/>
          <w:sz w:val="24"/>
          <w:szCs w:val="24"/>
        </w:rPr>
        <w:t>Progressive Scan CMOS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rozdzielczość: </w:t>
      </w:r>
      <w:r w:rsidRPr="007D203B">
        <w:rPr>
          <w:b/>
          <w:bCs/>
          <w:color w:val="444444"/>
          <w:sz w:val="24"/>
          <w:szCs w:val="24"/>
        </w:rPr>
        <w:t>2</w:t>
      </w:r>
      <w:r>
        <w:rPr>
          <w:b/>
          <w:bCs/>
          <w:color w:val="444444"/>
          <w:sz w:val="24"/>
          <w:szCs w:val="24"/>
        </w:rPr>
        <w:t>688</w:t>
      </w:r>
      <w:r w:rsidRPr="007D203B">
        <w:rPr>
          <w:b/>
          <w:bCs/>
          <w:color w:val="444444"/>
          <w:sz w:val="24"/>
          <w:szCs w:val="24"/>
        </w:rPr>
        <w:t>×1</w:t>
      </w:r>
      <w:r>
        <w:rPr>
          <w:b/>
          <w:bCs/>
          <w:color w:val="444444"/>
          <w:sz w:val="24"/>
          <w:szCs w:val="24"/>
        </w:rPr>
        <w:t>520</w:t>
      </w:r>
      <w:r w:rsidRPr="007D203B">
        <w:rPr>
          <w:b/>
          <w:bCs/>
          <w:color w:val="444444"/>
          <w:sz w:val="24"/>
          <w:szCs w:val="24"/>
        </w:rPr>
        <w:t> @ </w:t>
      </w:r>
      <w:r>
        <w:rPr>
          <w:b/>
          <w:bCs/>
          <w:color w:val="444444"/>
          <w:sz w:val="24"/>
          <w:szCs w:val="24"/>
        </w:rPr>
        <w:t>25</w:t>
      </w:r>
      <w:r w:rsidRPr="007D203B">
        <w:rPr>
          <w:b/>
          <w:bCs/>
          <w:color w:val="444444"/>
          <w:sz w:val="24"/>
          <w:szCs w:val="24"/>
        </w:rPr>
        <w:t xml:space="preserve"> </w:t>
      </w:r>
      <w:proofErr w:type="spellStart"/>
      <w:r w:rsidRPr="007D203B">
        <w:rPr>
          <w:b/>
          <w:bCs/>
          <w:color w:val="444444"/>
          <w:sz w:val="24"/>
          <w:szCs w:val="24"/>
        </w:rPr>
        <w:t>kl</w:t>
      </w:r>
      <w:proofErr w:type="spellEnd"/>
      <w:r w:rsidRPr="007D203B">
        <w:rPr>
          <w:b/>
          <w:bCs/>
          <w:color w:val="444444"/>
          <w:sz w:val="24"/>
          <w:szCs w:val="24"/>
        </w:rPr>
        <w:t>/s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  <w:lang w:val="en-US"/>
        </w:rPr>
      </w:pPr>
      <w:proofErr w:type="spellStart"/>
      <w:r w:rsidRPr="007D203B">
        <w:rPr>
          <w:color w:val="444444"/>
          <w:sz w:val="24"/>
          <w:szCs w:val="24"/>
          <w:lang w:val="en-US"/>
        </w:rPr>
        <w:t>interfejs</w:t>
      </w:r>
      <w:proofErr w:type="spellEnd"/>
      <w:r w:rsidRPr="007D203B">
        <w:rPr>
          <w:color w:val="444444"/>
          <w:sz w:val="24"/>
          <w:szCs w:val="24"/>
          <w:lang w:val="en-US"/>
        </w:rPr>
        <w:t xml:space="preserve">: Ethernet 10Base-T/100Base-TX </w:t>
      </w:r>
      <w:proofErr w:type="spellStart"/>
      <w:r w:rsidRPr="007D203B">
        <w:rPr>
          <w:color w:val="444444"/>
          <w:sz w:val="24"/>
          <w:szCs w:val="24"/>
          <w:lang w:val="en-US"/>
        </w:rPr>
        <w:t>PoE</w:t>
      </w:r>
      <w:proofErr w:type="spellEnd"/>
      <w:r w:rsidRPr="007D203B">
        <w:rPr>
          <w:color w:val="444444"/>
          <w:sz w:val="24"/>
          <w:szCs w:val="24"/>
          <w:lang w:val="en-US"/>
        </w:rPr>
        <w:t> 802.3at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kompresja: H.265+/ H.265/ H.264+/ H.264/ MJPEG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ilość pikseli: </w:t>
      </w:r>
      <w:r w:rsidRPr="007D203B">
        <w:rPr>
          <w:b/>
          <w:bCs/>
          <w:color w:val="444444"/>
          <w:sz w:val="24"/>
          <w:szCs w:val="24"/>
        </w:rPr>
        <w:t>4Mpx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  <w:lang w:val="en-US"/>
        </w:rPr>
      </w:pPr>
      <w:proofErr w:type="spellStart"/>
      <w:r w:rsidRPr="007D203B">
        <w:rPr>
          <w:color w:val="444444"/>
          <w:sz w:val="24"/>
          <w:szCs w:val="24"/>
          <w:lang w:val="en-US"/>
        </w:rPr>
        <w:t>czułość</w:t>
      </w:r>
      <w:proofErr w:type="spellEnd"/>
      <w:r w:rsidRPr="007D203B">
        <w:rPr>
          <w:color w:val="444444"/>
          <w:sz w:val="24"/>
          <w:szCs w:val="24"/>
          <w:lang w:val="en-US"/>
        </w:rPr>
        <w:t>: 0.003lux/F1.4 (AGC ON), 0lux (IR LED ON)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obiektyw: </w:t>
      </w:r>
      <w:r w:rsidRPr="007D203B">
        <w:rPr>
          <w:b/>
          <w:bCs/>
          <w:color w:val="444444"/>
          <w:sz w:val="24"/>
          <w:szCs w:val="24"/>
        </w:rPr>
        <w:t>2.8~12mm (</w:t>
      </w:r>
      <w:proofErr w:type="spellStart"/>
      <w:r w:rsidRPr="007D203B">
        <w:rPr>
          <w:b/>
          <w:bCs/>
          <w:color w:val="444444"/>
          <w:sz w:val="24"/>
          <w:szCs w:val="24"/>
        </w:rPr>
        <w:t>motozoom</w:t>
      </w:r>
      <w:proofErr w:type="spellEnd"/>
      <w:r w:rsidRPr="007D203B">
        <w:rPr>
          <w:b/>
          <w:bCs/>
          <w:color w:val="444444"/>
          <w:sz w:val="24"/>
          <w:szCs w:val="24"/>
        </w:rPr>
        <w:t xml:space="preserve"> z autofocusem)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oświetlacz: diody Smart IR LED (zasięg 60m)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AWB, AGC, BLC, HLC, 3D DNR, WDR 120dB, ROI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mechaniczny filtr podczerwieni ICR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wejścia/wyjścia audio: 1/1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wejścia/wyjścia alarmowe: 1/1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 xml:space="preserve">obsługa kart </w:t>
      </w:r>
      <w:proofErr w:type="spellStart"/>
      <w:r w:rsidRPr="007D203B">
        <w:rPr>
          <w:color w:val="444444"/>
          <w:sz w:val="24"/>
          <w:szCs w:val="24"/>
        </w:rPr>
        <w:t>microSD</w:t>
      </w:r>
      <w:proofErr w:type="spellEnd"/>
      <w:r w:rsidRPr="007D203B">
        <w:rPr>
          <w:color w:val="444444"/>
          <w:sz w:val="24"/>
          <w:szCs w:val="24"/>
        </w:rPr>
        <w:t>/SDHC/SDXC do 256GB</w:t>
      </w:r>
    </w:p>
    <w:p w:rsidR="00F4664E" w:rsidRPr="007D203B" w:rsidRDefault="00F4664E" w:rsidP="00F4664E">
      <w:pPr>
        <w:widowControl/>
        <w:numPr>
          <w:ilvl w:val="0"/>
          <w:numId w:val="5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zgodność ze standardami: ONVIF, ISAPI, SDK</w:t>
      </w:r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b/>
          <w:bCs/>
          <w:color w:val="444444"/>
          <w:sz w:val="24"/>
          <w:szCs w:val="24"/>
        </w:rPr>
        <w:t>zintegrowana skrzynka przyłączeniowa</w:t>
      </w:r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b/>
          <w:bCs/>
          <w:color w:val="444444"/>
          <w:sz w:val="24"/>
          <w:szCs w:val="24"/>
        </w:rPr>
        <w:t>filtrowanie fałszywych alarmów</w:t>
      </w:r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b/>
          <w:bCs/>
          <w:color w:val="444444"/>
          <w:sz w:val="24"/>
          <w:szCs w:val="24"/>
        </w:rPr>
        <w:t>funkcje AI:</w:t>
      </w:r>
      <w:r w:rsidRPr="007D203B">
        <w:rPr>
          <w:color w:val="444444"/>
          <w:sz w:val="24"/>
          <w:szCs w:val="24"/>
        </w:rPr>
        <w:t> ochrona perymetryczna, wykrywanie twarzy, detekcja ruchu, klasyfikacja obiektu (człowiek/pojazd)</w:t>
      </w:r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prędkość i rozdzielczość przetwarzania:</w:t>
      </w:r>
    </w:p>
    <w:p w:rsidR="00F4664E" w:rsidRPr="007D203B" w:rsidRDefault="00F4664E" w:rsidP="00F4664E">
      <w:pPr>
        <w:widowControl/>
        <w:numPr>
          <w:ilvl w:val="1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 xml:space="preserve">25/30 </w:t>
      </w:r>
      <w:proofErr w:type="spellStart"/>
      <w:r w:rsidRPr="007D203B">
        <w:rPr>
          <w:color w:val="444444"/>
          <w:sz w:val="24"/>
          <w:szCs w:val="24"/>
        </w:rPr>
        <w:t>kl</w:t>
      </w:r>
      <w:proofErr w:type="spellEnd"/>
      <w:r w:rsidRPr="007D203B">
        <w:rPr>
          <w:color w:val="444444"/>
          <w:sz w:val="24"/>
          <w:szCs w:val="24"/>
        </w:rPr>
        <w:t>/s dla 2688×1520 (4Mpx)</w:t>
      </w:r>
    </w:p>
    <w:p w:rsidR="00F4664E" w:rsidRPr="007D203B" w:rsidRDefault="00F4664E" w:rsidP="00F4664E">
      <w:pPr>
        <w:widowControl/>
        <w:numPr>
          <w:ilvl w:val="1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lastRenderedPageBreak/>
        <w:t xml:space="preserve">25/30 </w:t>
      </w:r>
      <w:proofErr w:type="spellStart"/>
      <w:r w:rsidRPr="007D203B">
        <w:rPr>
          <w:color w:val="444444"/>
          <w:sz w:val="24"/>
          <w:szCs w:val="24"/>
        </w:rPr>
        <w:t>kl</w:t>
      </w:r>
      <w:proofErr w:type="spellEnd"/>
      <w:r w:rsidRPr="007D203B">
        <w:rPr>
          <w:color w:val="444444"/>
          <w:sz w:val="24"/>
          <w:szCs w:val="24"/>
        </w:rPr>
        <w:t>/s dla 1920×1080 (1080p)</w:t>
      </w:r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proofErr w:type="spellStart"/>
      <w:r w:rsidRPr="007D203B">
        <w:rPr>
          <w:color w:val="444444"/>
          <w:sz w:val="24"/>
          <w:szCs w:val="24"/>
        </w:rPr>
        <w:t>bitrate</w:t>
      </w:r>
      <w:proofErr w:type="spellEnd"/>
      <w:r w:rsidRPr="007D203B">
        <w:rPr>
          <w:color w:val="444444"/>
          <w:sz w:val="24"/>
          <w:szCs w:val="24"/>
        </w:rPr>
        <w:t xml:space="preserve">: 32 </w:t>
      </w:r>
      <w:proofErr w:type="spellStart"/>
      <w:r w:rsidRPr="007D203B">
        <w:rPr>
          <w:color w:val="444444"/>
          <w:sz w:val="24"/>
          <w:szCs w:val="24"/>
        </w:rPr>
        <w:t>Kbps</w:t>
      </w:r>
      <w:proofErr w:type="spellEnd"/>
      <w:r w:rsidRPr="007D203B">
        <w:rPr>
          <w:color w:val="444444"/>
          <w:sz w:val="24"/>
          <w:szCs w:val="24"/>
        </w:rPr>
        <w:t xml:space="preserve"> ~ 8 </w:t>
      </w:r>
      <w:proofErr w:type="spellStart"/>
      <w:r w:rsidRPr="007D203B">
        <w:rPr>
          <w:color w:val="444444"/>
          <w:sz w:val="24"/>
          <w:szCs w:val="24"/>
        </w:rPr>
        <w:t>Mbps</w:t>
      </w:r>
      <w:proofErr w:type="spellEnd"/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 xml:space="preserve">zasilanie: 12V DC lub </w:t>
      </w:r>
      <w:proofErr w:type="spellStart"/>
      <w:r w:rsidRPr="007D203B">
        <w:rPr>
          <w:color w:val="444444"/>
          <w:sz w:val="24"/>
          <w:szCs w:val="24"/>
        </w:rPr>
        <w:t>PoE</w:t>
      </w:r>
      <w:proofErr w:type="spellEnd"/>
      <w:r w:rsidRPr="007D203B">
        <w:rPr>
          <w:color w:val="444444"/>
          <w:sz w:val="24"/>
          <w:szCs w:val="24"/>
        </w:rPr>
        <w:t xml:space="preserve"> 802.3at</w:t>
      </w:r>
    </w:p>
    <w:p w:rsidR="00F4664E" w:rsidRPr="007D203B" w:rsidRDefault="00F4664E" w:rsidP="00F4664E">
      <w:pPr>
        <w:widowControl/>
        <w:numPr>
          <w:ilvl w:val="0"/>
          <w:numId w:val="6"/>
        </w:numPr>
        <w:suppressLineNumbers w:val="0"/>
        <w:shd w:val="clear" w:color="auto" w:fill="FFFFFF"/>
        <w:suppressAutoHyphens w:val="0"/>
        <w:autoSpaceDE/>
        <w:spacing w:before="100" w:beforeAutospacing="1" w:after="100" w:afterAutospacing="1"/>
        <w:rPr>
          <w:color w:val="444444"/>
          <w:sz w:val="24"/>
          <w:szCs w:val="24"/>
        </w:rPr>
      </w:pPr>
      <w:r w:rsidRPr="007D203B">
        <w:rPr>
          <w:color w:val="444444"/>
          <w:sz w:val="24"/>
          <w:szCs w:val="24"/>
        </w:rPr>
        <w:t>obudowa: klasa szczelności (</w:t>
      </w:r>
      <w:hyperlink r:id="rId11" w:tgtFrame="_blank" w:history="1">
        <w:r w:rsidRPr="007D203B">
          <w:rPr>
            <w:color w:val="0B6CC1"/>
            <w:sz w:val="24"/>
            <w:szCs w:val="24"/>
            <w:u w:val="single"/>
          </w:rPr>
          <w:t>IP66</w:t>
        </w:r>
      </w:hyperlink>
      <w:r w:rsidRPr="007D203B">
        <w:rPr>
          <w:color w:val="444444"/>
          <w:sz w:val="24"/>
          <w:szCs w:val="24"/>
        </w:rPr>
        <w:t>), wandaloodporna (</w:t>
      </w:r>
      <w:hyperlink r:id="rId12" w:tgtFrame="_blank" w:history="1">
        <w:r w:rsidRPr="007D203B">
          <w:rPr>
            <w:color w:val="0B6CC1"/>
            <w:sz w:val="24"/>
            <w:szCs w:val="24"/>
            <w:u w:val="single"/>
          </w:rPr>
          <w:t>IK10</w:t>
        </w:r>
      </w:hyperlink>
      <w:r w:rsidRPr="007D203B">
        <w:rPr>
          <w:color w:val="444444"/>
          <w:sz w:val="24"/>
          <w:szCs w:val="24"/>
        </w:rPr>
        <w:t>)</w:t>
      </w:r>
    </w:p>
    <w:p w:rsidR="00F4664E" w:rsidRPr="007D203B" w:rsidRDefault="00F4664E" w:rsidP="00F4664E">
      <w:pPr>
        <w:rPr>
          <w:sz w:val="24"/>
          <w:szCs w:val="24"/>
        </w:rPr>
      </w:pPr>
    </w:p>
    <w:p w:rsidR="00F4664E" w:rsidRPr="007D203B" w:rsidRDefault="00F4664E" w:rsidP="00F4664E">
      <w:pPr>
        <w:rPr>
          <w:sz w:val="24"/>
          <w:szCs w:val="24"/>
        </w:rPr>
      </w:pPr>
    </w:p>
    <w:p w:rsidR="00F4664E" w:rsidRDefault="00F4664E" w:rsidP="00F4664E">
      <w:pPr>
        <w:pStyle w:val="Akapitzlist"/>
        <w:numPr>
          <w:ilvl w:val="0"/>
          <w:numId w:val="7"/>
        </w:numPr>
        <w:rPr>
          <w:b/>
          <w:bCs/>
        </w:rPr>
      </w:pPr>
      <w:r w:rsidRPr="00E318CA">
        <w:rPr>
          <w:b/>
          <w:bCs/>
        </w:rPr>
        <w:t>Przełącznik modularny</w:t>
      </w:r>
    </w:p>
    <w:p w:rsidR="00F4664E" w:rsidRPr="007D203B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 xml:space="preserve">Na przykład Aruba Przeł. 6300M 48G CL4 </w:t>
      </w:r>
      <w:proofErr w:type="spellStart"/>
      <w:r w:rsidRPr="007D203B">
        <w:rPr>
          <w:sz w:val="24"/>
          <w:szCs w:val="24"/>
        </w:rPr>
        <w:t>PoE</w:t>
      </w:r>
      <w:proofErr w:type="spellEnd"/>
      <w:r w:rsidRPr="007D203B">
        <w:rPr>
          <w:sz w:val="24"/>
          <w:szCs w:val="24"/>
        </w:rPr>
        <w:t xml:space="preserve"> 4SFP56 lub równoważny o parametrach:</w:t>
      </w:r>
    </w:p>
    <w:p w:rsidR="00F4664E" w:rsidRPr="007D203B" w:rsidRDefault="00F4664E" w:rsidP="00F4664E">
      <w:pPr>
        <w:rPr>
          <w:b/>
          <w:bCs/>
          <w:sz w:val="24"/>
          <w:szCs w:val="24"/>
        </w:rPr>
      </w:pP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>Porty 48 x 10/100/1000BASE-T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>Dalsze porty 4x SFP56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>Wolne moduły Brak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proofErr w:type="spellStart"/>
      <w:r w:rsidRPr="007D203B">
        <w:t>stakowalny</w:t>
      </w:r>
      <w:proofErr w:type="spellEnd"/>
      <w:r w:rsidRPr="007D203B">
        <w:t xml:space="preserve"> 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proofErr w:type="spellStart"/>
      <w:r w:rsidRPr="007D203B">
        <w:t>PoE</w:t>
      </w:r>
      <w:proofErr w:type="spellEnd"/>
      <w:r w:rsidRPr="007D203B">
        <w:t xml:space="preserve"> tak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>Standard 802.3at (</w:t>
      </w:r>
      <w:proofErr w:type="spellStart"/>
      <w:r w:rsidRPr="007D203B">
        <w:t>PoE</w:t>
      </w:r>
      <w:proofErr w:type="spellEnd"/>
      <w:r w:rsidRPr="007D203B">
        <w:t>+)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  <w:rPr>
          <w:lang w:val="en-US"/>
        </w:rPr>
      </w:pPr>
      <w:proofErr w:type="spellStart"/>
      <w:r w:rsidRPr="007D203B">
        <w:rPr>
          <w:lang w:val="en-US"/>
        </w:rPr>
        <w:t>PoE</w:t>
      </w:r>
      <w:proofErr w:type="spellEnd"/>
      <w:r w:rsidRPr="007D203B">
        <w:rPr>
          <w:lang w:val="en-US"/>
        </w:rPr>
        <w:t xml:space="preserve"> Standard 802.3at (</w:t>
      </w:r>
      <w:proofErr w:type="spellStart"/>
      <w:r w:rsidRPr="007D203B">
        <w:rPr>
          <w:lang w:val="en-US"/>
        </w:rPr>
        <w:t>PoE</w:t>
      </w:r>
      <w:proofErr w:type="spellEnd"/>
      <w:r w:rsidRPr="007D203B">
        <w:rPr>
          <w:lang w:val="en-US"/>
        </w:rPr>
        <w:t>+)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  <w:rPr>
          <w:lang w:val="en-US"/>
        </w:rPr>
      </w:pPr>
      <w:proofErr w:type="spellStart"/>
      <w:r w:rsidRPr="007D203B">
        <w:rPr>
          <w:lang w:val="en-US"/>
        </w:rPr>
        <w:t>Porty</w:t>
      </w:r>
      <w:proofErr w:type="spellEnd"/>
      <w:r w:rsidRPr="007D203B">
        <w:rPr>
          <w:lang w:val="en-US"/>
        </w:rPr>
        <w:t xml:space="preserve"> </w:t>
      </w:r>
      <w:proofErr w:type="spellStart"/>
      <w:r w:rsidRPr="007D203B">
        <w:rPr>
          <w:lang w:val="en-US"/>
        </w:rPr>
        <w:t>PoE</w:t>
      </w:r>
      <w:proofErr w:type="spellEnd"/>
      <w:r w:rsidRPr="007D203B">
        <w:rPr>
          <w:lang w:val="en-US"/>
        </w:rPr>
        <w:t xml:space="preserve"> 1 - 48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proofErr w:type="spellStart"/>
      <w:r w:rsidRPr="007D203B">
        <w:t>Zarządzalny</w:t>
      </w:r>
      <w:proofErr w:type="spellEnd"/>
      <w:r w:rsidRPr="007D203B">
        <w:t xml:space="preserve"> 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>Chłodzenie Wentylator</w:t>
      </w:r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 xml:space="preserve">Konstrukcja </w:t>
      </w:r>
      <w:proofErr w:type="spellStart"/>
      <w:r w:rsidRPr="007D203B">
        <w:t>rack</w:t>
      </w:r>
      <w:proofErr w:type="spellEnd"/>
    </w:p>
    <w:p w:rsidR="00F4664E" w:rsidRPr="007D203B" w:rsidRDefault="00F4664E" w:rsidP="00F4664E">
      <w:pPr>
        <w:pStyle w:val="Akapitzlist"/>
        <w:numPr>
          <w:ilvl w:val="0"/>
          <w:numId w:val="8"/>
        </w:numPr>
      </w:pPr>
      <w:r w:rsidRPr="007D203B">
        <w:t>Zasilacz modularny</w:t>
      </w:r>
    </w:p>
    <w:p w:rsidR="00F4664E" w:rsidRDefault="00F4664E" w:rsidP="00F4664E"/>
    <w:p w:rsidR="00F4664E" w:rsidRPr="00C12EC1" w:rsidRDefault="00F4664E" w:rsidP="00F4664E">
      <w:pPr>
        <w:pStyle w:val="Akapitzlist"/>
        <w:numPr>
          <w:ilvl w:val="0"/>
          <w:numId w:val="7"/>
        </w:numPr>
        <w:rPr>
          <w:b/>
          <w:bCs/>
        </w:rPr>
      </w:pPr>
      <w:r w:rsidRPr="00C12EC1">
        <w:rPr>
          <w:b/>
          <w:bCs/>
        </w:rPr>
        <w:t>Dysk twardy ‘</w:t>
      </w:r>
    </w:p>
    <w:p w:rsidR="00F4664E" w:rsidRPr="007D203B" w:rsidRDefault="00F4664E" w:rsidP="00F4664E">
      <w:pPr>
        <w:rPr>
          <w:sz w:val="24"/>
          <w:szCs w:val="24"/>
        </w:rPr>
      </w:pPr>
    </w:p>
    <w:p w:rsidR="00F4664E" w:rsidRPr="007D203B" w:rsidRDefault="00F4664E" w:rsidP="00F4664E">
      <w:pPr>
        <w:rPr>
          <w:sz w:val="24"/>
          <w:szCs w:val="24"/>
        </w:rPr>
      </w:pPr>
      <w:r w:rsidRPr="007D203B">
        <w:rPr>
          <w:sz w:val="24"/>
          <w:szCs w:val="24"/>
        </w:rPr>
        <w:t xml:space="preserve">Przeznaczony do zapisów monitoringu np. WD Purple Pro </w:t>
      </w:r>
      <w:proofErr w:type="spellStart"/>
      <w:r w:rsidRPr="007D203B">
        <w:rPr>
          <w:sz w:val="24"/>
          <w:szCs w:val="24"/>
        </w:rPr>
        <w:t>Surveillance</w:t>
      </w:r>
      <w:proofErr w:type="spellEnd"/>
      <w:r w:rsidRPr="007D203B">
        <w:rPr>
          <w:sz w:val="24"/>
          <w:szCs w:val="24"/>
        </w:rPr>
        <w:t xml:space="preserve"> 10TB HDD lub równoważny o parametrach 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Rodzaj dysku HDD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Pojemność dysku 10 TB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Typ dysku Wewnętrzny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Format 3.5"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 xml:space="preserve">Interfejs SATA III (6 </w:t>
      </w:r>
      <w:proofErr w:type="spellStart"/>
      <w:r w:rsidRPr="007D203B">
        <w:t>Gb</w:t>
      </w:r>
      <w:proofErr w:type="spellEnd"/>
      <w:r w:rsidRPr="007D203B">
        <w:t>/s)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Maksymalna prędkość odczytu [MB/s] 265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Maksymalna prędkość zapisu [MB/s] 265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Prędkość interfejsu 6 GB/s</w:t>
      </w:r>
    </w:p>
    <w:p w:rsidR="00F4664E" w:rsidRPr="007D203B" w:rsidRDefault="00F4664E" w:rsidP="00F4664E">
      <w:pPr>
        <w:pStyle w:val="Akapitzlist"/>
        <w:numPr>
          <w:ilvl w:val="0"/>
          <w:numId w:val="9"/>
        </w:numPr>
      </w:pPr>
      <w:r w:rsidRPr="007D203B">
        <w:t>Prędkość obrotowa [</w:t>
      </w:r>
      <w:proofErr w:type="spellStart"/>
      <w:r w:rsidRPr="007D203B">
        <w:t>obr</w:t>
      </w:r>
      <w:proofErr w:type="spellEnd"/>
      <w:r w:rsidRPr="007D203B">
        <w:t>/min] 7200</w:t>
      </w:r>
    </w:p>
    <w:p w:rsidR="00F4664E" w:rsidRPr="007D203B" w:rsidRDefault="00F4664E" w:rsidP="00F4664E">
      <w:pPr>
        <w:rPr>
          <w:sz w:val="24"/>
          <w:szCs w:val="24"/>
        </w:rPr>
      </w:pPr>
    </w:p>
    <w:p w:rsidR="00F4664E" w:rsidRPr="00EB0212" w:rsidRDefault="00F4664E" w:rsidP="00F4664E">
      <w:pPr>
        <w:pStyle w:val="Akapitzlist"/>
        <w:numPr>
          <w:ilvl w:val="0"/>
          <w:numId w:val="7"/>
        </w:numPr>
        <w:rPr>
          <w:b/>
          <w:bCs/>
        </w:rPr>
      </w:pPr>
      <w:r w:rsidRPr="00EB0212">
        <w:rPr>
          <w:b/>
          <w:bCs/>
        </w:rPr>
        <w:t xml:space="preserve">Zasilacz </w:t>
      </w:r>
    </w:p>
    <w:p w:rsidR="00F4664E" w:rsidRDefault="00F4664E" w:rsidP="00F4664E"/>
    <w:p w:rsidR="00F4664E" w:rsidRDefault="00F4664E" w:rsidP="00F4664E">
      <w:r>
        <w:t xml:space="preserve">Na przykład </w:t>
      </w:r>
      <w:r w:rsidRPr="00EB0212">
        <w:t>HPE Zasilacz Aruba X372 680 W</w:t>
      </w:r>
      <w:r>
        <w:t xml:space="preserve"> lub równoważny</w:t>
      </w:r>
    </w:p>
    <w:p w:rsidR="00F4664E" w:rsidRDefault="00F4664E" w:rsidP="00F4664E"/>
    <w:p w:rsidR="00F4664E" w:rsidRDefault="00F4664E" w:rsidP="00F4664E">
      <w:pPr>
        <w:pStyle w:val="Akapitzlist"/>
        <w:numPr>
          <w:ilvl w:val="0"/>
          <w:numId w:val="10"/>
        </w:numPr>
      </w:pPr>
      <w:r>
        <w:t xml:space="preserve">Zabudowa </w:t>
      </w:r>
      <w:proofErr w:type="spellStart"/>
      <w:r>
        <w:t>rackowa</w:t>
      </w:r>
      <w:proofErr w:type="spellEnd"/>
      <w:r>
        <w:t xml:space="preserve"> </w:t>
      </w:r>
    </w:p>
    <w:p w:rsidR="00F4664E" w:rsidRDefault="00F4664E" w:rsidP="00F4664E">
      <w:pPr>
        <w:pStyle w:val="Akapitzlist"/>
        <w:numPr>
          <w:ilvl w:val="0"/>
          <w:numId w:val="10"/>
        </w:numPr>
      </w:pPr>
      <w:r>
        <w:t>Moc 680W</w:t>
      </w:r>
    </w:p>
    <w:p w:rsidR="00F4664E" w:rsidRDefault="00F4664E" w:rsidP="00F4664E"/>
    <w:p w:rsidR="00F4664E" w:rsidRPr="006140BF" w:rsidRDefault="00F4664E" w:rsidP="00F4664E">
      <w:pPr>
        <w:pStyle w:val="Akapitzlist"/>
        <w:numPr>
          <w:ilvl w:val="0"/>
          <w:numId w:val="7"/>
        </w:numPr>
        <w:rPr>
          <w:b/>
          <w:bCs/>
        </w:rPr>
      </w:pPr>
      <w:r w:rsidRPr="006140BF">
        <w:rPr>
          <w:b/>
          <w:bCs/>
        </w:rPr>
        <w:t xml:space="preserve">Kieszeń wentylacyjna </w:t>
      </w:r>
    </w:p>
    <w:p w:rsidR="00F4664E" w:rsidRDefault="00F4664E" w:rsidP="00F4664E"/>
    <w:p w:rsidR="00F4664E" w:rsidRPr="000B6E30" w:rsidRDefault="00F4664E" w:rsidP="00F4664E">
      <w:pPr>
        <w:rPr>
          <w:sz w:val="24"/>
          <w:szCs w:val="24"/>
        </w:rPr>
      </w:pPr>
      <w:r w:rsidRPr="000B6E30">
        <w:rPr>
          <w:sz w:val="24"/>
          <w:szCs w:val="24"/>
        </w:rPr>
        <w:t>Na przykład  HPE Kieszeń wentylacyjna Aruba 6300M lub równoważna</w:t>
      </w:r>
    </w:p>
    <w:p w:rsidR="00F4664E" w:rsidRDefault="00F4664E" w:rsidP="00E1002A">
      <w:pPr>
        <w:pStyle w:val="Akapitzlist"/>
        <w:numPr>
          <w:ilvl w:val="0"/>
          <w:numId w:val="11"/>
        </w:numPr>
      </w:pPr>
      <w:r w:rsidRPr="000B6E30">
        <w:t xml:space="preserve">Zabudowa </w:t>
      </w:r>
      <w:proofErr w:type="spellStart"/>
      <w:r w:rsidRPr="000B6E30">
        <w:t>rackowa</w:t>
      </w:r>
      <w:bookmarkStart w:id="2" w:name="_Toc97504542"/>
      <w:bookmarkStart w:id="3" w:name="_GoBack"/>
      <w:bookmarkEnd w:id="3"/>
      <w:proofErr w:type="spellEnd"/>
    </w:p>
    <w:p w:rsidR="00F4664E" w:rsidRPr="00FB6A24" w:rsidRDefault="00F4664E" w:rsidP="00F4664E">
      <w:pPr>
        <w:rPr>
          <w:lang w:eastAsia="pl-PL"/>
        </w:rPr>
      </w:pPr>
    </w:p>
    <w:p w:rsidR="00F4664E" w:rsidRPr="0049023C" w:rsidRDefault="00F4664E" w:rsidP="00F4664E">
      <w:pPr>
        <w:pStyle w:val="Nagwek1"/>
      </w:pPr>
      <w:r w:rsidRPr="0049023C">
        <w:t>PRZEPISY ZWIĄZANE</w:t>
      </w:r>
      <w:bookmarkEnd w:id="2"/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Ustawa z dnia 7 lipca 1994 r. Prawo Budowlane (Dz. U. 1994 nr 89 poz. 414) </w:t>
      </w:r>
      <w:r w:rsidR="00BB172F">
        <w:br/>
      </w:r>
      <w:r>
        <w:t xml:space="preserve">z późniejszymi zmianami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Ministra Infrastruktury z dnia 23 czerwca 2003 r. w sprawie informacji dotyczącej bezpieczeństwa i ochrony zdrowia oraz planu bezpieczeństwa i ochrony zdrowia (Dz. U. nr 2003 nr 120 poz. 1126)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Ministra Infrastruktury z dnia 6.02.2003 w sprawie bezpieczeństwa i higieny pracy podczas wykonywania robót budowlanych (Dz. U. 2003 nr 47 poz. 401)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>Rozporządzenie Ministra Pracy i Polityki Socjalnej z dnia 26 września 1997 r.</w:t>
      </w:r>
      <w:r w:rsidR="00BB172F">
        <w:br/>
      </w:r>
      <w:r>
        <w:t xml:space="preserve"> w sprawie ogólnych przepisów bezpieczeństwa i higieny pracy (Dz. U. 1997 nr 129 poz. 844)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Ministra Gospodarki z dnia 20 września 2001 r. w sprawie bezpieczeństwa i higieny pracy podczas eksploatacji maszyn i urządzeń technicznych do robót ziemnych, budowlanych i drogowych (Dz. U. 2001 nr 118 poz. 1263)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Ministra Pracy i Polityki Socjalnej z dnia 28 maja 1996 w sprawie rodzajów prac wymagających szczególnej sprawności psychofizycznej (Dz. U. 1996 nr 62 poz. 287)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Ministra Pracy i Polityki Socjalnej z dnia 28 maja 1996 w sprawie rodzajów prac, które powinny być wykonywane przez co najmniej dwie osoby (Dz. U. 1966 nr 62 poz. 288)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Ministra Zdrowia i Opieki Społecznej z dnia 30 maja 1996 w sprawie przeprowadzania badań lekarskich pracowników, zakresu profilaktycznej opieki zdrowotnej nad pracownikami oraz orzeczeń lekarskich wydawanych do celów przewidzianych w Kodeksie Pracy (Dz.U. 1966 nr 69 poz. 332) z późniejszymi zmianami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 xml:space="preserve">Rozporządzenie Rady Ministrów z dnia 2 września 1997 w sprawie służby bezpieczeństwa i higieny pracy (Dz. U.1997 nr 109, poz. 704) </w:t>
      </w:r>
    </w:p>
    <w:p w:rsidR="00F4664E" w:rsidRDefault="00F4664E" w:rsidP="00BB172F">
      <w:pPr>
        <w:pStyle w:val="Akapitzlist"/>
        <w:numPr>
          <w:ilvl w:val="0"/>
          <w:numId w:val="2"/>
        </w:numPr>
        <w:jc w:val="both"/>
      </w:pPr>
      <w:r>
        <w:t>Rozporządzenie Ministra Pracy i Polityki Socjalnej z dnia 28 maja 1996 w sprawie szczegółowych zasad szkolenia w dziedzinie bezpieczeństwa i higieny pracy (Dz. U. 1966 nr 62 poz. 285)</w:t>
      </w:r>
    </w:p>
    <w:p w:rsidR="00835699" w:rsidRDefault="00835699"/>
    <w:sectPr w:rsidR="0083569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02A" w:rsidRDefault="00E1002A" w:rsidP="00E1002A">
      <w:r>
        <w:separator/>
      </w:r>
    </w:p>
  </w:endnote>
  <w:endnote w:type="continuationSeparator" w:id="0">
    <w:p w:rsidR="00E1002A" w:rsidRDefault="00E1002A" w:rsidP="00E1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02A" w:rsidRDefault="00E1002A" w:rsidP="00E1002A">
      <w:r>
        <w:separator/>
      </w:r>
    </w:p>
  </w:footnote>
  <w:footnote w:type="continuationSeparator" w:id="0">
    <w:p w:rsidR="00E1002A" w:rsidRDefault="00E1002A" w:rsidP="00E1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02A" w:rsidRDefault="00E1002A">
    <w:pPr>
      <w:pStyle w:val="Nagwek"/>
    </w:pPr>
    <w:r>
      <w:t>DZ/07/2022 - OPZ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03B85"/>
    <w:multiLevelType w:val="hybridMultilevel"/>
    <w:tmpl w:val="995A7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42648"/>
    <w:multiLevelType w:val="multilevel"/>
    <w:tmpl w:val="C8527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4C2329"/>
    <w:multiLevelType w:val="hybridMultilevel"/>
    <w:tmpl w:val="3012A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460BA"/>
    <w:multiLevelType w:val="hybridMultilevel"/>
    <w:tmpl w:val="31ACD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1178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8436517"/>
    <w:multiLevelType w:val="hybridMultilevel"/>
    <w:tmpl w:val="D78A48C0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5AE01690"/>
    <w:multiLevelType w:val="hybridMultilevel"/>
    <w:tmpl w:val="952C6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2148A"/>
    <w:multiLevelType w:val="hybridMultilevel"/>
    <w:tmpl w:val="BEB25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F2B54"/>
    <w:multiLevelType w:val="hybridMultilevel"/>
    <w:tmpl w:val="05C46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E3BDC"/>
    <w:multiLevelType w:val="hybridMultilevel"/>
    <w:tmpl w:val="51CEC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2079B"/>
    <w:multiLevelType w:val="multilevel"/>
    <w:tmpl w:val="EE3C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0"/>
  </w:num>
  <w:num w:numId="6">
    <w:abstractNumId w:val="1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4E"/>
    <w:rsid w:val="000D6B85"/>
    <w:rsid w:val="00134A1D"/>
    <w:rsid w:val="001D626F"/>
    <w:rsid w:val="00835699"/>
    <w:rsid w:val="00BB172F"/>
    <w:rsid w:val="00E1002A"/>
    <w:rsid w:val="00F4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0EE44"/>
  <w15:chartTrackingRefBased/>
  <w15:docId w15:val="{7327D52F-A6D0-4A0E-B7A9-45437B28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664E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664E"/>
    <w:pPr>
      <w:keepNext/>
      <w:keepLines/>
      <w:widowControl/>
      <w:suppressLineNumbers w:val="0"/>
      <w:suppressAutoHyphens w:val="0"/>
      <w:autoSpaceDE/>
      <w:spacing w:before="240" w:after="120"/>
      <w:outlineLvl w:val="0"/>
    </w:pPr>
    <w:rPr>
      <w:rFonts w:ascii="Calibri Light" w:hAnsi="Calibri Light"/>
      <w:color w:val="2F5496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664E"/>
    <w:rPr>
      <w:rFonts w:ascii="Calibri Light" w:eastAsia="Times New Roman" w:hAnsi="Calibri Light" w:cs="Times New Roman"/>
      <w:color w:val="2F5496"/>
      <w:sz w:val="32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F4664E"/>
    <w:pPr>
      <w:widowControl/>
      <w:suppressLineNumbers w:val="0"/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customStyle="1" w:styleId="Default">
    <w:name w:val="Default"/>
    <w:rsid w:val="00F4664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100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002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E100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002A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apad.pl/artykuly/telewizja-przemyslowa/klasyfikacja-wodoszczelnosci-kamer-i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pad.pl/artykuly/telewizja-przemyslowa/klasyfikacja-wodoszczelnosci-kamer-i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1492</Words>
  <Characters>8955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UK066</dc:creator>
  <cp:keywords/>
  <dc:description/>
  <cp:lastModifiedBy>UK015</cp:lastModifiedBy>
  <cp:revision>3</cp:revision>
  <dcterms:created xsi:type="dcterms:W3CDTF">2022-04-06T07:59:00Z</dcterms:created>
  <dcterms:modified xsi:type="dcterms:W3CDTF">2022-04-06T13:02:00Z</dcterms:modified>
</cp:coreProperties>
</file>