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FD" w:rsidRDefault="00BF2253" w:rsidP="00D47FFD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KO/02</w:t>
      </w:r>
      <w:bookmarkStart w:id="0" w:name="_GoBack"/>
      <w:bookmarkEnd w:id="0"/>
      <w:r w:rsidR="00D47FFD">
        <w:rPr>
          <w:rFonts w:cstheme="minorHAnsi"/>
          <w:b/>
        </w:rPr>
        <w:t>/2023</w:t>
      </w:r>
    </w:p>
    <w:p w:rsidR="00D47FFD" w:rsidRDefault="00D47FFD" w:rsidP="00D47FFD">
      <w:pPr>
        <w:rPr>
          <w:rFonts w:cstheme="minorHAnsi"/>
          <w:b/>
        </w:rPr>
      </w:pPr>
      <w:r>
        <w:rPr>
          <w:rFonts w:cstheme="minorHAnsi"/>
          <w:b/>
        </w:rPr>
        <w:t>Załącznik nr 3 do Szczegółowych Warunków Konkursu Ofert (SWKO)</w:t>
      </w:r>
    </w:p>
    <w:p w:rsidR="00D47FFD" w:rsidRDefault="00D47FFD" w:rsidP="00F74D75">
      <w:pPr>
        <w:jc w:val="center"/>
        <w:rPr>
          <w:rFonts w:cstheme="minorHAnsi"/>
          <w:b/>
        </w:rPr>
      </w:pPr>
    </w:p>
    <w:p w:rsidR="00F74D75" w:rsidRPr="0044140D" w:rsidRDefault="00F74D75" w:rsidP="00F74D75">
      <w:pPr>
        <w:jc w:val="center"/>
        <w:rPr>
          <w:rFonts w:cstheme="minorHAnsi"/>
          <w:b/>
        </w:rPr>
      </w:pPr>
      <w:r w:rsidRPr="0044140D">
        <w:rPr>
          <w:rFonts w:cstheme="minorHAnsi"/>
          <w:b/>
        </w:rPr>
        <w:t xml:space="preserve">Opis przedmiotu zamówienia </w:t>
      </w:r>
    </w:p>
    <w:p w:rsidR="00F74D75" w:rsidRPr="0044140D" w:rsidRDefault="00F74D75" w:rsidP="00F74D75">
      <w:pPr>
        <w:jc w:val="center"/>
        <w:rPr>
          <w:rFonts w:cstheme="minorHAnsi"/>
        </w:rPr>
      </w:pPr>
    </w:p>
    <w:p w:rsidR="00F74D75" w:rsidRPr="0044140D" w:rsidRDefault="00F74D75" w:rsidP="00F74D75">
      <w:pPr>
        <w:pStyle w:val="Akapitzlist"/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spacing w:val="-7"/>
        </w:rPr>
        <w:t xml:space="preserve">Realizacja przedmiotu zamówienia dla </w:t>
      </w:r>
      <w:r w:rsidRPr="0044140D">
        <w:rPr>
          <w:rFonts w:cstheme="minorHAnsi"/>
          <w:color w:val="000000" w:themeColor="text1"/>
          <w:spacing w:val="-7"/>
        </w:rPr>
        <w:t>pacjentów od noworodka do 18 r.ż..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338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>Przyjmujący zamówienie zobowiązuje się do wykonywania badań w siedzibie Przyjmującego zamówienie 24h na dobę, 7 dni w tygodniu, w tym w dni wolne od pracy i święta.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>Badania będą realizowane przez Przyjmującego zamówienie na podstawie zlecenia, w trybie planowym i pilnym (CITO), po uprzednim zgłoszeniu telefonicznym.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 xml:space="preserve">Badania będą realizowane w następującym czasie </w:t>
      </w:r>
      <w:r w:rsidRPr="0044140D">
        <w:rPr>
          <w:rFonts w:cstheme="minorHAnsi"/>
          <w:color w:val="000000" w:themeColor="text1"/>
          <w:spacing w:val="-7"/>
          <w:u w:val="single"/>
        </w:rPr>
        <w:t>od zgłoszenia telefonicznego</w:t>
      </w:r>
      <w:r w:rsidRPr="0044140D">
        <w:rPr>
          <w:rFonts w:cstheme="minorHAnsi"/>
          <w:color w:val="000000" w:themeColor="text1"/>
          <w:spacing w:val="-7"/>
        </w:rPr>
        <w:t>:</w:t>
      </w:r>
    </w:p>
    <w:p w:rsidR="00F74D75" w:rsidRPr="0044140D" w:rsidRDefault="00F74D75" w:rsidP="00F74D75">
      <w:pPr>
        <w:widowControl w:val="0"/>
        <w:suppressLineNumbers/>
        <w:suppressAutoHyphens/>
        <w:autoSpaceDE w:val="0"/>
        <w:spacing w:after="0" w:line="240" w:lineRule="auto"/>
        <w:ind w:left="426"/>
        <w:rPr>
          <w:rFonts w:cstheme="minorHAnsi"/>
          <w:color w:val="000000" w:themeColor="text1"/>
          <w:spacing w:val="-7"/>
        </w:rPr>
      </w:pPr>
    </w:p>
    <w:tbl>
      <w:tblPr>
        <w:tblW w:w="7683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4484"/>
      </w:tblGrid>
      <w:tr w:rsidR="00F74D75" w:rsidRPr="0044140D" w:rsidTr="00F74D75">
        <w:tc>
          <w:tcPr>
            <w:tcW w:w="3199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 xml:space="preserve">Badania rezonansu magnetycznego objęte </w:t>
            </w:r>
            <w:r w:rsidRPr="0044140D">
              <w:rPr>
                <w:rFonts w:cstheme="minorHAnsi"/>
                <w:spacing w:val="-7"/>
                <w:u w:val="single"/>
              </w:rPr>
              <w:t>trybem CITO bez lub ze znieczuleniem</w:t>
            </w:r>
            <w:r w:rsidRPr="0044140D">
              <w:rPr>
                <w:rFonts w:cstheme="minorHAnsi"/>
                <w:spacing w:val="-7"/>
              </w:rPr>
              <w:t>, wymagające zapewnienia realizacji badań całodobowo - winny być realizowane 24 godziny na dobę we wszystkie dni tygodnia.</w:t>
            </w:r>
          </w:p>
        </w:tc>
        <w:tc>
          <w:tcPr>
            <w:tcW w:w="4484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color w:val="000000"/>
                <w:spacing w:val="-7"/>
              </w:rPr>
            </w:pPr>
            <w:r w:rsidRPr="0044140D">
              <w:rPr>
                <w:rFonts w:cstheme="minorHAnsi"/>
                <w:color w:val="000000"/>
                <w:spacing w:val="-7"/>
              </w:rPr>
              <w:t xml:space="preserve">Niezwłocznie po zgłoszeniu – Przyjmujący jest zobowiązany do zadeklarowania czasu realizacji </w:t>
            </w:r>
          </w:p>
          <w:p w:rsidR="00F74D75" w:rsidRPr="0044140D" w:rsidRDefault="00F74D75" w:rsidP="00F74D75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cstheme="minorHAnsi"/>
                <w:color w:val="000000"/>
                <w:spacing w:val="-7"/>
              </w:rPr>
            </w:pPr>
            <w:r w:rsidRPr="0044140D">
              <w:rPr>
                <w:rFonts w:cstheme="minorHAnsi"/>
                <w:color w:val="000000"/>
                <w:spacing w:val="-7"/>
              </w:rPr>
              <w:t>Badanie rezonansu magnetycznego objętego trybem CITO bez znieczulenia (sedacji) – do 24 h</w:t>
            </w:r>
          </w:p>
          <w:p w:rsidR="00F74D75" w:rsidRPr="0044140D" w:rsidRDefault="00F74D75" w:rsidP="00F74D75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pacing w:after="0" w:line="240" w:lineRule="auto"/>
              <w:rPr>
                <w:rFonts w:cstheme="minorHAnsi"/>
                <w:color w:val="000000"/>
                <w:spacing w:val="-7"/>
              </w:rPr>
            </w:pPr>
            <w:r w:rsidRPr="0044140D">
              <w:rPr>
                <w:rFonts w:cstheme="minorHAnsi"/>
                <w:color w:val="000000"/>
                <w:spacing w:val="-7"/>
              </w:rPr>
              <w:t>Badanie rezonansu magnetycznego objętego trybem CITO ze znieczuleniem (sedacji) – do 4 dni roboczych</w:t>
            </w:r>
          </w:p>
        </w:tc>
      </w:tr>
      <w:tr w:rsidR="00F74D75" w:rsidRPr="0044140D" w:rsidTr="00F74D75">
        <w:tc>
          <w:tcPr>
            <w:tcW w:w="3199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>Badania rezonansu magnetycznego objęte trybem PLANOWYM bez znieczulenia</w:t>
            </w:r>
          </w:p>
        </w:tc>
        <w:tc>
          <w:tcPr>
            <w:tcW w:w="4484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color w:val="000000"/>
                <w:spacing w:val="-7"/>
              </w:rPr>
            </w:pPr>
            <w:r w:rsidRPr="0044140D">
              <w:rPr>
                <w:rFonts w:cstheme="minorHAnsi"/>
                <w:color w:val="000000"/>
                <w:spacing w:val="-7"/>
              </w:rPr>
              <w:t>W możliwie najkrótszym czasie – Przyjmujący jest zobowiązany do zadeklarowania czasu realizacji – maksymalnie do 3 dni roboczych.</w:t>
            </w:r>
          </w:p>
        </w:tc>
      </w:tr>
      <w:tr w:rsidR="00F74D75" w:rsidRPr="0044140D" w:rsidTr="00F74D75">
        <w:tc>
          <w:tcPr>
            <w:tcW w:w="3199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>Badania rezonansu magnetycznego objęte trybem PLANOWYM ze znieczuleniem</w:t>
            </w:r>
          </w:p>
        </w:tc>
        <w:tc>
          <w:tcPr>
            <w:tcW w:w="4484" w:type="dxa"/>
            <w:shd w:val="clear" w:color="auto" w:fill="auto"/>
          </w:tcPr>
          <w:p w:rsidR="00F74D75" w:rsidRPr="0044140D" w:rsidRDefault="00F74D75" w:rsidP="00C046A3">
            <w:pPr>
              <w:rPr>
                <w:rFonts w:cstheme="minorHAnsi"/>
                <w:color w:val="000000"/>
                <w:spacing w:val="-7"/>
              </w:rPr>
            </w:pPr>
            <w:r w:rsidRPr="0044140D">
              <w:rPr>
                <w:rFonts w:cstheme="minorHAnsi"/>
                <w:color w:val="000000"/>
                <w:spacing w:val="-7"/>
              </w:rPr>
              <w:t>W możliwie najkrótszym czasie – Przyjmujący</w:t>
            </w:r>
            <w:r w:rsidRPr="0044140D">
              <w:rPr>
                <w:rFonts w:cstheme="minorHAnsi"/>
                <w:color w:val="00B050"/>
                <w:spacing w:val="-7"/>
              </w:rPr>
              <w:t xml:space="preserve"> </w:t>
            </w:r>
            <w:r w:rsidRPr="0044140D">
              <w:rPr>
                <w:rFonts w:cstheme="minorHAnsi"/>
                <w:color w:val="000000"/>
                <w:spacing w:val="-7"/>
              </w:rPr>
              <w:t>jest zobowiązany do zadeklarowania czasu realizacji – maksymalnie do 7 dni roboczych.</w:t>
            </w:r>
          </w:p>
        </w:tc>
      </w:tr>
    </w:tbl>
    <w:p w:rsidR="00F74D75" w:rsidRPr="0044140D" w:rsidRDefault="00F74D75" w:rsidP="00F74D75">
      <w:pPr>
        <w:rPr>
          <w:rFonts w:cstheme="minorHAnsi"/>
          <w:spacing w:val="-7"/>
        </w:rPr>
      </w:pP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Każde wykonane badanie powinno być opisane przez lekarza radiologa. Wynik badania stanowi płyta CD/DVD z obrazem oraz opis badania.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zamówienie gwarantuje następujący czas oczekiwania na wynik badania oraz sposób jego przekazania Zamawiającemu:</w:t>
      </w:r>
    </w:p>
    <w:p w:rsidR="00F74D75" w:rsidRPr="0044140D" w:rsidRDefault="00F74D75" w:rsidP="00F74D75">
      <w:pPr>
        <w:pStyle w:val="Akapitzlist"/>
        <w:widowControl w:val="0"/>
        <w:numPr>
          <w:ilvl w:val="3"/>
          <w:numId w:val="1"/>
        </w:numPr>
        <w:suppressLineNumbers/>
        <w:suppressAutoHyphens/>
        <w:autoSpaceDE w:val="0"/>
        <w:spacing w:after="0" w:line="240" w:lineRule="auto"/>
        <w:ind w:left="709" w:hanging="283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płyta CD/DVD wydana będzie w dwóch egzemplarzach – jeden dla rodzica/opiekuna pacjenta, drugi osobie upoważnionej przez Zamawiającego – bezpośrednio po wykonaniu badania.</w:t>
      </w:r>
    </w:p>
    <w:p w:rsidR="00F74D75" w:rsidRPr="0044140D" w:rsidRDefault="00F74D75" w:rsidP="00F74D75">
      <w:pPr>
        <w:widowControl w:val="0"/>
        <w:numPr>
          <w:ilvl w:val="3"/>
          <w:numId w:val="1"/>
        </w:numPr>
        <w:suppressLineNumbers/>
        <w:suppressAutoHyphens/>
        <w:autoSpaceDE w:val="0"/>
        <w:spacing w:after="0" w:line="240" w:lineRule="auto"/>
        <w:ind w:left="709" w:hanging="283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opis badania:</w:t>
      </w:r>
    </w:p>
    <w:p w:rsidR="00F74D75" w:rsidRPr="0044140D" w:rsidRDefault="00F74D75" w:rsidP="00F74D75">
      <w:pPr>
        <w:widowControl w:val="0"/>
        <w:suppressLineNumbers/>
        <w:suppressAutoHyphens/>
        <w:autoSpaceDE w:val="0"/>
        <w:spacing w:after="0" w:line="240" w:lineRule="auto"/>
        <w:ind w:left="709" w:hanging="709"/>
        <w:jc w:val="both"/>
        <w:rPr>
          <w:rFonts w:cstheme="minorHAnsi"/>
          <w:spacing w:val="-7"/>
        </w:rPr>
      </w:pPr>
    </w:p>
    <w:tbl>
      <w:tblPr>
        <w:tblW w:w="7686" w:type="dxa"/>
        <w:tblInd w:w="1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3564"/>
        <w:gridCol w:w="3708"/>
      </w:tblGrid>
      <w:tr w:rsidR="00F74D75" w:rsidRPr="0044140D" w:rsidTr="00C046A3">
        <w:trPr>
          <w:trHeight w:val="408"/>
        </w:trPr>
        <w:tc>
          <w:tcPr>
            <w:tcW w:w="41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b/>
                <w:spacing w:val="-7"/>
              </w:rPr>
            </w:pPr>
            <w:r w:rsidRPr="0044140D">
              <w:rPr>
                <w:rFonts w:cstheme="minorHAnsi"/>
                <w:b/>
                <w:spacing w:val="-7"/>
              </w:rPr>
              <w:t>Lp.</w:t>
            </w:r>
          </w:p>
        </w:tc>
        <w:tc>
          <w:tcPr>
            <w:tcW w:w="356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b/>
                <w:spacing w:val="-7"/>
              </w:rPr>
            </w:pPr>
            <w:r w:rsidRPr="0044140D">
              <w:rPr>
                <w:rFonts w:cstheme="minorHAnsi"/>
                <w:b/>
                <w:spacing w:val="-7"/>
              </w:rPr>
              <w:t>Rodzaj badania</w:t>
            </w:r>
          </w:p>
        </w:tc>
        <w:tc>
          <w:tcPr>
            <w:tcW w:w="3708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b/>
                <w:spacing w:val="-7"/>
              </w:rPr>
            </w:pPr>
            <w:r w:rsidRPr="0044140D">
              <w:rPr>
                <w:rFonts w:cstheme="minorHAnsi"/>
                <w:b/>
                <w:spacing w:val="-7"/>
              </w:rPr>
              <w:t>Czas realizacji</w:t>
            </w:r>
          </w:p>
        </w:tc>
      </w:tr>
      <w:tr w:rsidR="00F74D75" w:rsidRPr="0044140D" w:rsidTr="00C046A3">
        <w:trPr>
          <w:trHeight w:val="669"/>
        </w:trPr>
        <w:tc>
          <w:tcPr>
            <w:tcW w:w="41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b/>
                <w:spacing w:val="-7"/>
              </w:rPr>
            </w:pPr>
            <w:r w:rsidRPr="0044140D">
              <w:rPr>
                <w:rFonts w:cstheme="minorHAnsi"/>
                <w:b/>
                <w:spacing w:val="-7"/>
              </w:rPr>
              <w:t>1.</w:t>
            </w:r>
          </w:p>
        </w:tc>
        <w:tc>
          <w:tcPr>
            <w:tcW w:w="356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>Tryb CITO</w:t>
            </w:r>
          </w:p>
        </w:tc>
        <w:tc>
          <w:tcPr>
            <w:tcW w:w="3708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 xml:space="preserve">Bezpośrednio po wykonaniu badania, lecz nie dłużej niż do </w:t>
            </w:r>
            <w:r w:rsidRPr="0044140D">
              <w:rPr>
                <w:rFonts w:cstheme="minorHAnsi"/>
                <w:b/>
                <w:spacing w:val="-7"/>
              </w:rPr>
              <w:t>24 godzin po badaniu</w:t>
            </w:r>
          </w:p>
        </w:tc>
      </w:tr>
      <w:tr w:rsidR="00F74D75" w:rsidRPr="0044140D" w:rsidTr="00C046A3">
        <w:trPr>
          <w:trHeight w:val="601"/>
        </w:trPr>
        <w:tc>
          <w:tcPr>
            <w:tcW w:w="41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b/>
                <w:spacing w:val="-7"/>
              </w:rPr>
            </w:pPr>
            <w:r w:rsidRPr="0044140D">
              <w:rPr>
                <w:rFonts w:cstheme="minorHAnsi"/>
                <w:b/>
                <w:spacing w:val="-7"/>
              </w:rPr>
              <w:t>2.</w:t>
            </w:r>
          </w:p>
        </w:tc>
        <w:tc>
          <w:tcPr>
            <w:tcW w:w="3564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>Tryb PLANOWANY</w:t>
            </w:r>
          </w:p>
        </w:tc>
        <w:tc>
          <w:tcPr>
            <w:tcW w:w="3708" w:type="dxa"/>
          </w:tcPr>
          <w:p w:rsidR="00F74D75" w:rsidRPr="0044140D" w:rsidRDefault="00F74D75" w:rsidP="00C046A3">
            <w:pPr>
              <w:jc w:val="both"/>
              <w:rPr>
                <w:rFonts w:cstheme="minorHAnsi"/>
                <w:spacing w:val="-7"/>
              </w:rPr>
            </w:pPr>
            <w:r w:rsidRPr="0044140D">
              <w:rPr>
                <w:rFonts w:cstheme="minorHAnsi"/>
                <w:spacing w:val="-7"/>
              </w:rPr>
              <w:t xml:space="preserve">Max. do </w:t>
            </w:r>
            <w:r w:rsidRPr="0044140D">
              <w:rPr>
                <w:rFonts w:cstheme="minorHAnsi"/>
                <w:b/>
                <w:spacing w:val="-7"/>
              </w:rPr>
              <w:t>3 dni roboczych</w:t>
            </w:r>
            <w:r w:rsidRPr="0044140D">
              <w:rPr>
                <w:rFonts w:cstheme="minorHAnsi"/>
                <w:spacing w:val="-7"/>
              </w:rPr>
              <w:t xml:space="preserve"> po wykonaniu badania</w:t>
            </w:r>
          </w:p>
        </w:tc>
      </w:tr>
    </w:tbl>
    <w:p w:rsidR="00F74D75" w:rsidRPr="0044140D" w:rsidRDefault="00F74D75" w:rsidP="00F74D75">
      <w:pPr>
        <w:ind w:left="1440"/>
        <w:jc w:val="both"/>
        <w:rPr>
          <w:rFonts w:cstheme="minorHAnsi"/>
          <w:spacing w:val="-7"/>
        </w:rPr>
      </w:pPr>
    </w:p>
    <w:p w:rsidR="00F74D75" w:rsidRPr="0044140D" w:rsidRDefault="00F74D75" w:rsidP="00F74D75">
      <w:pPr>
        <w:ind w:left="709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 xml:space="preserve">Przekazanie opisu za pośrednictwem portalu internetowego (opis opatrzony podpisem elektronicznym możliwy do pobrania przez Zamawiającego). Dopuszcza się możliwość przekazania opisu w postaci wydruku papierowego opatrzonego pieczęcią i podpisem lekarza radiologa, osobie upoważnionej przez Zamawiającego. 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color w:val="000000" w:themeColor="text1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>Odległość od  siedziby Zamawiającego do miejsca wykonania badania – maksymalnie do 35 km.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 xml:space="preserve">Dopuszcza się przeniesienie obowiązków realizacji przedmiotu umowy na podwykonawców o ile spełnią </w:t>
      </w:r>
      <w:r w:rsidRPr="0044140D">
        <w:rPr>
          <w:rFonts w:cstheme="minorHAnsi"/>
          <w:spacing w:val="-7"/>
        </w:rPr>
        <w:lastRenderedPageBreak/>
        <w:t xml:space="preserve">postanowienia umowy oraz szczegółowe warunki wymagane od Przyjmującego. 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Podstawą do zapłaty wynagrodzenia będzie prawidłowo wystawiona przez Przyjmującego zamówienie faktura VAT – zawierająca zbiorczo zestawienie wykonanych w okresie rozliczeniowym usług. Przyjmujący zamówienie do faktury VAT dołączy szczegółowe zestawienie usług (załącznik) będących przedmiotem umowy, obejmujące informacje: dane pacjenta (PESEL), datę wykonania badania, dane lekarza zlecającego badanie oraz rodzaj i cenę udzielonego świadczenia zgodnie z umową.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color w:val="000000"/>
          <w:spacing w:val="-7"/>
        </w:rPr>
        <w:t>Określona w załączniku liczba badań jest wielkością szacunkową i nie powoduje powstania po stronie Przyjmującego roszczenia o ich wykonanie.</w:t>
      </w: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zamówienie zobowiązuje się do poddania kontroli wykonywanej przez Zamawiającego, Narodowy Fundusz Zdrowia, inne uprawnione organy oraz udostępnienia wszelkich danych i informacji niezbędnych do przeprowadzenia kontroli.</w:t>
      </w:r>
    </w:p>
    <w:p w:rsidR="00F74D75" w:rsidRPr="0044140D" w:rsidRDefault="00F74D75" w:rsidP="00F74D75">
      <w:pPr>
        <w:widowControl w:val="0"/>
        <w:suppressLineNumbers/>
        <w:suppressAutoHyphens/>
        <w:autoSpaceDE w:val="0"/>
        <w:spacing w:after="0" w:line="240" w:lineRule="auto"/>
        <w:ind w:left="426"/>
        <w:jc w:val="both"/>
        <w:rPr>
          <w:rFonts w:cstheme="minorHAnsi"/>
          <w:spacing w:val="-7"/>
        </w:rPr>
      </w:pP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 xml:space="preserve">Termin realizacji zamówienia: </w:t>
      </w:r>
      <w:r w:rsidR="00D81A38" w:rsidRPr="0044140D">
        <w:rPr>
          <w:rFonts w:cstheme="minorHAnsi"/>
          <w:b/>
          <w:spacing w:val="-7"/>
        </w:rPr>
        <w:t>24 miesiące</w:t>
      </w:r>
      <w:r w:rsidRPr="0044140D">
        <w:rPr>
          <w:rFonts w:cstheme="minorHAnsi"/>
          <w:b/>
          <w:spacing w:val="-7"/>
        </w:rPr>
        <w:t xml:space="preserve"> od podpisania umowy.</w:t>
      </w:r>
    </w:p>
    <w:p w:rsidR="00F74D75" w:rsidRPr="0044140D" w:rsidRDefault="00F74D75" w:rsidP="00F74D75">
      <w:pPr>
        <w:pStyle w:val="Akapitzlist"/>
        <w:rPr>
          <w:rFonts w:cstheme="minorHAnsi"/>
          <w:spacing w:val="-7"/>
        </w:rPr>
      </w:pPr>
    </w:p>
    <w:p w:rsidR="00F74D75" w:rsidRPr="0044140D" w:rsidRDefault="00F74D75" w:rsidP="00F74D75">
      <w:pPr>
        <w:widowControl w:val="0"/>
        <w:numPr>
          <w:ilvl w:val="1"/>
          <w:numId w:val="1"/>
        </w:numPr>
        <w:suppressLineNumbers/>
        <w:suppressAutoHyphens/>
        <w:autoSpaceDE w:val="0"/>
        <w:spacing w:after="0" w:line="240" w:lineRule="auto"/>
        <w:ind w:left="426" w:hanging="426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 xml:space="preserve">Opis warunków wymaganych od Wykonawców: </w:t>
      </w:r>
    </w:p>
    <w:p w:rsidR="00F74D75" w:rsidRPr="0044140D" w:rsidRDefault="00F74D75" w:rsidP="00F74D75">
      <w:pPr>
        <w:spacing w:before="240"/>
        <w:ind w:firstLine="426"/>
        <w:jc w:val="both"/>
        <w:rPr>
          <w:rFonts w:cstheme="minorHAnsi"/>
          <w:spacing w:val="-7"/>
        </w:rPr>
      </w:pPr>
      <w:r w:rsidRPr="0044140D">
        <w:rPr>
          <w:rFonts w:cstheme="minorHAnsi"/>
        </w:rPr>
        <w:t>Wykonawca jest zobowiązany zapewnić: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tabs>
          <w:tab w:val="clear" w:pos="1440"/>
        </w:tabs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</w:rPr>
        <w:t>Wykonywanie usług z zachowaniem należytej staranności, zgodnie ze wskazaniami aktualnej wiedzy medycznej, zgodnie z zasadami etyki zawodowej.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Wykonywanie badań przez osoby odpowiednimi kwalifikacjami i uprawnieniami - w szczególności opis badania wykonuje Specjalista Radiolog z doświadczeniem w obszarze badań pediatrycznych co najmniej 3 letnim.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Prowadzenie dokumentacji medycznej zgodnie z obowiązującymi przepisami.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zamówienie jest zobowiązany do niezwłocznego poinformowania Zamawiającego zamówienie o przyczynach zwłoki i przewidywanym terminie wykonania opisu.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oświadcza, iż Urządzenia do świadczenia przedmiotu umowy są sprawne technicznie, spełniają wszelkie wymogi określone przepisami prawa i posiadają odpowiednie zgody i certyfikaty w zakresie dopuszczającym do użytku, których kopie Przyjmujący okaże na żądanie Zamawiającego.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oświadcza, iż dysponuje miejscem podjazdu dla karetek w lokalizacji realizacji świadczenia będącego przedmiotem umowy.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wskaże numer telefonu do kontaktu w sprawie zgłaszania potrzeby realizacji usługi oraz wyznaczy opiekuna umowy do kontaktu w sprawach dotyczących realizacji umowy.</w:t>
      </w:r>
    </w:p>
    <w:p w:rsidR="00F74D75" w:rsidRPr="0044140D" w:rsidRDefault="00F74D75" w:rsidP="00F74D75">
      <w:pPr>
        <w:widowControl w:val="0"/>
        <w:numPr>
          <w:ilvl w:val="1"/>
          <w:numId w:val="2"/>
        </w:numPr>
        <w:suppressLineNumbers/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Przyjmujący oświadcza, iż przedstawi wzór skierowania na badania do stosowania wraz z wzorem zgody na wykonanie badania diagnostycznego, które Zamawiający zaakceptuje.</w:t>
      </w:r>
    </w:p>
    <w:p w:rsidR="00F74D75" w:rsidRPr="0044140D" w:rsidRDefault="00F74D75" w:rsidP="00F74D75">
      <w:pPr>
        <w:widowControl w:val="0"/>
        <w:suppressLineNumbers/>
        <w:suppressAutoHyphens/>
        <w:autoSpaceDE w:val="0"/>
        <w:spacing w:after="0" w:line="240" w:lineRule="auto"/>
        <w:ind w:hanging="873"/>
        <w:jc w:val="both"/>
        <w:rPr>
          <w:rFonts w:cstheme="minorHAnsi"/>
          <w:spacing w:val="-7"/>
        </w:rPr>
      </w:pPr>
    </w:p>
    <w:p w:rsidR="00F74D75" w:rsidRPr="0044140D" w:rsidRDefault="00F74D75" w:rsidP="00F74D75">
      <w:pPr>
        <w:pStyle w:val="Akapitzlist"/>
        <w:widowControl w:val="0"/>
        <w:numPr>
          <w:ilvl w:val="1"/>
          <w:numId w:val="1"/>
        </w:numPr>
        <w:suppressLineNumbers/>
        <w:tabs>
          <w:tab w:val="left" w:pos="300"/>
        </w:tabs>
        <w:suppressAutoHyphens/>
        <w:autoSpaceDE w:val="0"/>
        <w:spacing w:after="0" w:line="240" w:lineRule="auto"/>
        <w:ind w:left="851" w:hanging="709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Kryterium oceny ofert:</w:t>
      </w:r>
    </w:p>
    <w:p w:rsidR="00F74D75" w:rsidRPr="0044140D" w:rsidRDefault="00F74D75" w:rsidP="00F74D75">
      <w:pPr>
        <w:widowControl w:val="0"/>
        <w:numPr>
          <w:ilvl w:val="1"/>
          <w:numId w:val="3"/>
        </w:numPr>
        <w:suppressLineNumbers/>
        <w:tabs>
          <w:tab w:val="clear" w:pos="1440"/>
          <w:tab w:val="left" w:pos="300"/>
          <w:tab w:val="num" w:pos="1134"/>
        </w:tabs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cena 70%,</w:t>
      </w:r>
    </w:p>
    <w:p w:rsidR="00F74D75" w:rsidRPr="0044140D" w:rsidRDefault="00F74D75" w:rsidP="00F74D75">
      <w:pPr>
        <w:widowControl w:val="0"/>
        <w:numPr>
          <w:ilvl w:val="1"/>
          <w:numId w:val="3"/>
        </w:numPr>
        <w:suppressLineNumbers/>
        <w:tabs>
          <w:tab w:val="clear" w:pos="1440"/>
          <w:tab w:val="left" w:pos="300"/>
          <w:tab w:val="num" w:pos="1134"/>
        </w:tabs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color w:val="FF0000"/>
          <w:spacing w:val="-7"/>
        </w:rPr>
      </w:pPr>
      <w:r w:rsidRPr="0044140D">
        <w:rPr>
          <w:rFonts w:cstheme="minorHAnsi"/>
          <w:color w:val="000000" w:themeColor="text1"/>
          <w:spacing w:val="-7"/>
        </w:rPr>
        <w:t>lokalizacja (odległość) - 10% w przypadku gdy maksymalna wskazana odległość, od siedziby Zamawiającego do najdalej położonego miejsca wykonywania badań, wyniesie do 15km</w:t>
      </w:r>
      <w:r w:rsidRPr="0044140D">
        <w:rPr>
          <w:rFonts w:cstheme="minorHAnsi"/>
          <w:spacing w:val="-7"/>
        </w:rPr>
        <w:t>,</w:t>
      </w:r>
    </w:p>
    <w:p w:rsidR="00F74D75" w:rsidRPr="0044140D" w:rsidRDefault="00F74D75" w:rsidP="00F74D75">
      <w:pPr>
        <w:widowControl w:val="0"/>
        <w:numPr>
          <w:ilvl w:val="1"/>
          <w:numId w:val="3"/>
        </w:numPr>
        <w:suppressLineNumbers/>
        <w:tabs>
          <w:tab w:val="clear" w:pos="1440"/>
          <w:tab w:val="left" w:pos="300"/>
          <w:tab w:val="num" w:pos="1134"/>
        </w:tabs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czas realizacji (wykonania) badania – 10% najkrótszy zaoferowany czas,</w:t>
      </w:r>
    </w:p>
    <w:p w:rsidR="00540B3F" w:rsidRPr="0044140D" w:rsidRDefault="00F74D75" w:rsidP="00C7480E">
      <w:pPr>
        <w:widowControl w:val="0"/>
        <w:numPr>
          <w:ilvl w:val="1"/>
          <w:numId w:val="3"/>
        </w:numPr>
        <w:suppressLineNumbers/>
        <w:tabs>
          <w:tab w:val="clear" w:pos="1440"/>
          <w:tab w:val="left" w:pos="300"/>
          <w:tab w:val="num" w:pos="1134"/>
        </w:tabs>
        <w:suppressAutoHyphens/>
        <w:autoSpaceDE w:val="0"/>
        <w:spacing w:after="0" w:line="240" w:lineRule="auto"/>
        <w:ind w:left="851" w:hanging="284"/>
        <w:jc w:val="both"/>
        <w:rPr>
          <w:rFonts w:cstheme="minorHAnsi"/>
          <w:spacing w:val="-7"/>
        </w:rPr>
      </w:pPr>
      <w:r w:rsidRPr="0044140D">
        <w:rPr>
          <w:rFonts w:cstheme="minorHAnsi"/>
          <w:spacing w:val="-7"/>
        </w:rPr>
        <w:t>czas realizacji opisu badania (krótszy niż wymagany ofertą) - 10% w przypadku skrócenia czasu oczekiwania o połowę.</w:t>
      </w:r>
    </w:p>
    <w:sectPr w:rsidR="00540B3F" w:rsidRPr="0044140D" w:rsidSect="006E6BA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BE4"/>
    <w:multiLevelType w:val="hybridMultilevel"/>
    <w:tmpl w:val="5704A040"/>
    <w:lvl w:ilvl="0" w:tplc="2A60F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661E"/>
    <w:multiLevelType w:val="hybridMultilevel"/>
    <w:tmpl w:val="CACECEAA"/>
    <w:lvl w:ilvl="0" w:tplc="5574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A95A5A5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884B34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E8F0D998">
      <w:start w:val="14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1613"/>
    <w:multiLevelType w:val="multilevel"/>
    <w:tmpl w:val="990272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294AFC"/>
    <w:multiLevelType w:val="multilevel"/>
    <w:tmpl w:val="E24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5"/>
    <w:rsid w:val="0044140D"/>
    <w:rsid w:val="00540B3F"/>
    <w:rsid w:val="00BF2253"/>
    <w:rsid w:val="00C7480E"/>
    <w:rsid w:val="00D47FFD"/>
    <w:rsid w:val="00D81A38"/>
    <w:rsid w:val="00F74D75"/>
    <w:rsid w:val="00F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F16E"/>
  <w15:chartTrackingRefBased/>
  <w15:docId w15:val="{B65607FB-994E-4B3A-A8D1-41F58ACC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D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UK313</dc:creator>
  <cp:keywords/>
  <dc:description/>
  <cp:lastModifiedBy>UK313</cp:lastModifiedBy>
  <cp:revision>5</cp:revision>
  <cp:lastPrinted>2023-02-02T10:41:00Z</cp:lastPrinted>
  <dcterms:created xsi:type="dcterms:W3CDTF">2023-01-30T12:17:00Z</dcterms:created>
  <dcterms:modified xsi:type="dcterms:W3CDTF">2023-02-09T12:46:00Z</dcterms:modified>
</cp:coreProperties>
</file>